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1F94" w14:textId="77777777" w:rsidR="00A65E4E" w:rsidRPr="002A34C7" w:rsidRDefault="00A65E4E" w:rsidP="00E00180">
      <w:pPr>
        <w:spacing w:after="0" w:line="240" w:lineRule="auto"/>
        <w:rPr>
          <w:rFonts w:ascii="Nirmala UI" w:hAnsi="Nirmala UI" w:cs="Nirmala UI"/>
          <w:bCs/>
          <w:sz w:val="12"/>
          <w:szCs w:val="12"/>
        </w:rPr>
      </w:pPr>
    </w:p>
    <w:p w14:paraId="55C4E72E" w14:textId="371F3274" w:rsidR="00362DBD" w:rsidRDefault="00CC2479" w:rsidP="00E00180">
      <w:pPr>
        <w:spacing w:after="0" w:line="240" w:lineRule="auto"/>
        <w:rPr>
          <w:rFonts w:ascii="Nirmala UI" w:hAnsi="Nirmala UI" w:cs="Nirmala UI"/>
          <w:bCs/>
          <w:sz w:val="24"/>
          <w:szCs w:val="24"/>
        </w:rPr>
      </w:pPr>
      <w:r w:rsidRPr="00E00180">
        <w:rPr>
          <w:rFonts w:ascii="Nirmala UI" w:hAnsi="Nirmala UI" w:cs="Nirmala UI"/>
          <w:bCs/>
          <w:sz w:val="24"/>
          <w:szCs w:val="24"/>
        </w:rPr>
        <w:t xml:space="preserve">Complete </w:t>
      </w:r>
      <w:r w:rsidR="00097721" w:rsidRPr="00E00180">
        <w:rPr>
          <w:rFonts w:ascii="Nirmala UI" w:hAnsi="Nirmala UI" w:cs="Nirmala UI"/>
          <w:bCs/>
          <w:sz w:val="24"/>
          <w:szCs w:val="24"/>
        </w:rPr>
        <w:t>each field</w:t>
      </w:r>
      <w:r w:rsidR="00CB3BB4">
        <w:rPr>
          <w:rFonts w:ascii="Nirmala UI" w:hAnsi="Nirmala UI" w:cs="Nirmala UI"/>
          <w:bCs/>
          <w:sz w:val="24"/>
          <w:szCs w:val="24"/>
        </w:rPr>
        <w:t xml:space="preserve"> </w:t>
      </w:r>
      <w:r w:rsidR="00BA7E21">
        <w:rPr>
          <w:rFonts w:ascii="Nirmala UI" w:hAnsi="Nirmala UI" w:cs="Nirmala UI"/>
          <w:bCs/>
          <w:sz w:val="24"/>
          <w:szCs w:val="24"/>
        </w:rPr>
        <w:t xml:space="preserve">below </w:t>
      </w:r>
      <w:r w:rsidR="00CB3BB4">
        <w:rPr>
          <w:rFonts w:ascii="Nirmala UI" w:hAnsi="Nirmala UI" w:cs="Nirmala UI"/>
          <w:bCs/>
          <w:sz w:val="24"/>
          <w:szCs w:val="24"/>
        </w:rPr>
        <w:t xml:space="preserve">to </w:t>
      </w:r>
      <w:r w:rsidR="00713612">
        <w:rPr>
          <w:rFonts w:ascii="Nirmala UI" w:hAnsi="Nirmala UI" w:cs="Nirmala UI"/>
          <w:bCs/>
          <w:sz w:val="24"/>
          <w:szCs w:val="24"/>
        </w:rPr>
        <w:t xml:space="preserve">assess </w:t>
      </w:r>
      <w:r w:rsidR="00CB3BB4">
        <w:rPr>
          <w:rFonts w:ascii="Nirmala UI" w:hAnsi="Nirmala UI" w:cs="Nirmala UI"/>
          <w:bCs/>
          <w:sz w:val="24"/>
          <w:szCs w:val="24"/>
        </w:rPr>
        <w:t xml:space="preserve">your organization’s </w:t>
      </w:r>
      <w:r w:rsidR="00E00180" w:rsidRPr="00E00180">
        <w:rPr>
          <w:rFonts w:ascii="Nirmala UI" w:hAnsi="Nirmala UI" w:cs="Nirmala UI"/>
          <w:bCs/>
          <w:sz w:val="24"/>
          <w:szCs w:val="24"/>
        </w:rPr>
        <w:t>commitment</w:t>
      </w:r>
      <w:r w:rsidR="00CB3BB4">
        <w:rPr>
          <w:rFonts w:ascii="Nirmala UI" w:hAnsi="Nirmala UI" w:cs="Nirmala UI"/>
          <w:bCs/>
          <w:sz w:val="24"/>
          <w:szCs w:val="24"/>
        </w:rPr>
        <w:t xml:space="preserve"> to </w:t>
      </w:r>
      <w:r w:rsidR="00A65E4E">
        <w:rPr>
          <w:rFonts w:ascii="Nirmala UI" w:hAnsi="Nirmala UI" w:cs="Nirmala UI"/>
          <w:bCs/>
          <w:sz w:val="24"/>
          <w:szCs w:val="24"/>
        </w:rPr>
        <w:t xml:space="preserve">preventing </w:t>
      </w:r>
      <w:r w:rsidR="00E753C9">
        <w:rPr>
          <w:rFonts w:ascii="Nirmala UI" w:hAnsi="Nirmala UI" w:cs="Nirmala UI"/>
          <w:bCs/>
          <w:sz w:val="24"/>
          <w:szCs w:val="24"/>
        </w:rPr>
        <w:t>antibiotic</w:t>
      </w:r>
      <w:r w:rsidR="00762407">
        <w:rPr>
          <w:rFonts w:ascii="Nirmala UI" w:hAnsi="Nirmala UI" w:cs="Nirmala UI"/>
          <w:bCs/>
          <w:sz w:val="24"/>
          <w:szCs w:val="24"/>
        </w:rPr>
        <w:t xml:space="preserve"> </w:t>
      </w:r>
      <w:r w:rsidR="00415F51">
        <w:rPr>
          <w:rFonts w:ascii="Nirmala UI" w:hAnsi="Nirmala UI" w:cs="Nirmala UI"/>
          <w:bCs/>
          <w:sz w:val="24"/>
          <w:szCs w:val="24"/>
        </w:rPr>
        <w:t>ADEs</w:t>
      </w:r>
      <w:r w:rsidR="00E00180" w:rsidRPr="00E00180">
        <w:rPr>
          <w:rFonts w:ascii="Nirmala UI" w:hAnsi="Nirmala UI" w:cs="Nirmala UI"/>
          <w:bCs/>
          <w:sz w:val="24"/>
          <w:szCs w:val="24"/>
        </w:rPr>
        <w:t>.</w:t>
      </w:r>
      <w:r w:rsidR="00BA7E21">
        <w:rPr>
          <w:rFonts w:ascii="Nirmala UI" w:hAnsi="Nirmala UI" w:cs="Nirmala UI"/>
          <w:bCs/>
          <w:sz w:val="24"/>
          <w:szCs w:val="24"/>
        </w:rPr>
        <w:t xml:space="preserve"> </w:t>
      </w:r>
      <w:r w:rsidR="003A3684">
        <w:rPr>
          <w:rFonts w:ascii="Nirmala UI" w:hAnsi="Nirmala UI" w:cs="Nirmala UI"/>
          <w:bCs/>
          <w:sz w:val="24"/>
          <w:szCs w:val="24"/>
        </w:rPr>
        <w:t>D</w:t>
      </w:r>
      <w:r w:rsidR="00701DAD">
        <w:rPr>
          <w:rFonts w:ascii="Nirmala UI" w:hAnsi="Nirmala UI" w:cs="Nirmala UI"/>
          <w:bCs/>
          <w:sz w:val="24"/>
          <w:szCs w:val="24"/>
        </w:rPr>
        <w:t xml:space="preserve">ownload the </w:t>
      </w:r>
      <w:hyperlink r:id="rId10" w:history="1">
        <w:r w:rsidR="00701DAD" w:rsidRPr="005C738F">
          <w:rPr>
            <w:rStyle w:val="Hyperlink"/>
            <w:rFonts w:ascii="Nirmala UI" w:hAnsi="Nirmala UI" w:cs="Nirmala UI"/>
            <w:bCs/>
            <w:sz w:val="24"/>
            <w:szCs w:val="24"/>
          </w:rPr>
          <w:t>Plan-Do-Study-Act Worksheet</w:t>
        </w:r>
      </w:hyperlink>
      <w:r w:rsidR="005C738F">
        <w:rPr>
          <w:rFonts w:ascii="Nirmala UI" w:hAnsi="Nirmala UI" w:cs="Nirmala UI"/>
          <w:bCs/>
          <w:sz w:val="24"/>
          <w:szCs w:val="24"/>
        </w:rPr>
        <w:t xml:space="preserve"> </w:t>
      </w:r>
      <w:r w:rsidR="005C738F" w:rsidRPr="005C738F">
        <w:rPr>
          <w:rFonts w:ascii="Nirmala UI" w:hAnsi="Nirmala UI" w:cs="Nirmala UI"/>
          <w:bCs/>
          <w:sz w:val="24"/>
          <w:szCs w:val="24"/>
        </w:rPr>
        <w:t xml:space="preserve">to </w:t>
      </w:r>
      <w:r w:rsidR="00147370">
        <w:rPr>
          <w:rFonts w:ascii="Nirmala UI" w:hAnsi="Nirmala UI" w:cs="Nirmala UI"/>
          <w:bCs/>
          <w:sz w:val="24"/>
          <w:szCs w:val="24"/>
        </w:rPr>
        <w:t>assist in your improvement efforts</w:t>
      </w:r>
      <w:r w:rsidR="005C738F" w:rsidRPr="005C738F">
        <w:rPr>
          <w:rFonts w:ascii="Nirmala UI" w:hAnsi="Nirmala UI" w:cs="Nirmala UI"/>
          <w:bCs/>
          <w:sz w:val="24"/>
          <w:szCs w:val="24"/>
        </w:rPr>
        <w:t>.</w:t>
      </w:r>
    </w:p>
    <w:p w14:paraId="0E004224" w14:textId="4FAD062C" w:rsidR="00E0091F" w:rsidRDefault="00E0091F" w:rsidP="00E0091F">
      <w:pPr>
        <w:spacing w:after="0" w:line="240" w:lineRule="auto"/>
        <w:rPr>
          <w:rFonts w:ascii="Nirmala UI" w:hAnsi="Nirmala UI" w:cs="Nirmala UI"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2206"/>
        <w:tblW w:w="9985" w:type="dxa"/>
        <w:tblLayout w:type="fixed"/>
        <w:tblLook w:val="04A0" w:firstRow="1" w:lastRow="0" w:firstColumn="1" w:lastColumn="0" w:noHBand="0" w:noVBand="1"/>
      </w:tblPr>
      <w:tblGrid>
        <w:gridCol w:w="5215"/>
        <w:gridCol w:w="495"/>
        <w:gridCol w:w="495"/>
        <w:gridCol w:w="3780"/>
      </w:tblGrid>
      <w:tr w:rsidR="009247CC" w:rsidRPr="00627CFF" w14:paraId="36152F51" w14:textId="77777777" w:rsidTr="00865ECE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0836B6F3" w14:textId="0CD28691" w:rsidR="009247CC" w:rsidRPr="00627CFF" w:rsidRDefault="009247CC" w:rsidP="002A34C7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4F4531">
              <w:rPr>
                <w:rFonts w:ascii="Nirmala UI" w:hAnsi="Nirmala UI" w:cs="Nirmala UI"/>
                <w:b/>
                <w:bCs/>
                <w:sz w:val="24"/>
                <w:szCs w:val="24"/>
              </w:rPr>
              <w:t>What are your program strengths?</w:t>
            </w:r>
          </w:p>
        </w:tc>
      </w:tr>
      <w:tr w:rsidR="009247CC" w:rsidRPr="00627CFF" w14:paraId="23DD2CB6" w14:textId="77777777" w:rsidTr="0000347D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51F44A8F" w14:textId="60CDD51B" w:rsidR="009247CC" w:rsidRPr="00627CFF" w:rsidRDefault="009247CC" w:rsidP="002A34C7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4F4531">
              <w:rPr>
                <w:rFonts w:ascii="Nirmala UI" w:hAnsi="Nirmala UI" w:cs="Nirmala UI"/>
                <w:b/>
                <w:bCs/>
                <w:sz w:val="24"/>
                <w:szCs w:val="24"/>
              </w:rPr>
              <w:t>What areas need improvement?</w:t>
            </w:r>
          </w:p>
        </w:tc>
      </w:tr>
      <w:tr w:rsidR="009247CC" w:rsidRPr="00627CFF" w14:paraId="3C431474" w14:textId="77777777" w:rsidTr="00AB2311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32C4A036" w14:textId="37F17A92" w:rsidR="009247CC" w:rsidRPr="004F4531" w:rsidRDefault="009247CC" w:rsidP="000A07E6">
            <w:pPr>
              <w:ind w:right="166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3B03C4">
              <w:rPr>
                <w:rFonts w:ascii="Nirmala UI" w:hAnsi="Nirmala UI" w:cs="Nirmala UI"/>
                <w:b/>
                <w:bCs/>
                <w:sz w:val="24"/>
                <w:szCs w:val="24"/>
              </w:rPr>
              <w:t>Are you willing to commit to implementing or reviewing your existing huddle process with direct care staff?</w:t>
            </w:r>
          </w:p>
        </w:tc>
      </w:tr>
      <w:tr w:rsidR="005C396A" w:rsidRPr="00627CFF" w14:paraId="18E2230E" w14:textId="77777777" w:rsidTr="00AC7234">
        <w:trPr>
          <w:cantSplit/>
          <w:trHeight w:val="980"/>
          <w:tblHeader/>
        </w:trPr>
        <w:tc>
          <w:tcPr>
            <w:tcW w:w="5215" w:type="dxa"/>
            <w:shd w:val="clear" w:color="auto" w:fill="0B4A72"/>
            <w:vAlign w:val="center"/>
          </w:tcPr>
          <w:p w14:paraId="74748200" w14:textId="77777777" w:rsidR="005C396A" w:rsidRDefault="005C396A" w:rsidP="002A34C7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bookmarkStart w:id="0" w:name="_Hlk80349554"/>
            <w:r w:rsidRPr="00627CFF">
              <w:rPr>
                <w:rFonts w:ascii="Nirmala UI" w:hAnsi="Nirmala UI" w:cs="Nirmala UI"/>
                <w:b/>
                <w:sz w:val="24"/>
                <w:szCs w:val="24"/>
              </w:rPr>
              <w:t>Question</w:t>
            </w:r>
          </w:p>
          <w:p w14:paraId="1BD3A7E9" w14:textId="77777777" w:rsidR="00281E86" w:rsidRDefault="005C396A" w:rsidP="002A34C7">
            <w:pPr>
              <w:ind w:left="-120" w:right="-105"/>
              <w:jc w:val="center"/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</w:pP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(Check the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” and/or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NI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” box(es) to designate </w:t>
            </w:r>
          </w:p>
          <w:p w14:paraId="34AC2E5D" w14:textId="2EE82B58" w:rsidR="005C396A" w:rsidRPr="006E4534" w:rsidRDefault="005C396A" w:rsidP="002A34C7">
            <w:pPr>
              <w:ind w:left="-120" w:right="-105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proofErr w:type="gramStart"/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Yes</w:t>
            </w:r>
            <w:proofErr w:type="gramEnd"/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 and if the area 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Needs Improvement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4C7B8312" w14:textId="77777777" w:rsidR="005C396A" w:rsidRPr="00627CFF" w:rsidRDefault="005C396A" w:rsidP="002A34C7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Y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396028D9" w14:textId="77777777" w:rsidR="005C396A" w:rsidRPr="00627CFF" w:rsidRDefault="005C396A" w:rsidP="002A34C7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NI</w:t>
            </w:r>
          </w:p>
        </w:tc>
        <w:tc>
          <w:tcPr>
            <w:tcW w:w="3780" w:type="dxa"/>
            <w:shd w:val="clear" w:color="auto" w:fill="0B4A72"/>
            <w:vAlign w:val="center"/>
          </w:tcPr>
          <w:p w14:paraId="390BE878" w14:textId="3B0E83B9" w:rsidR="005C396A" w:rsidRPr="00627CFF" w:rsidRDefault="005C396A" w:rsidP="002A34C7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627CFF">
              <w:rPr>
                <w:rFonts w:ascii="Nirmala UI" w:hAnsi="Nirmala UI" w:cs="Nirmala UI"/>
                <w:b/>
                <w:sz w:val="24"/>
                <w:szCs w:val="24"/>
              </w:rPr>
              <w:t>Comments</w:t>
            </w:r>
          </w:p>
        </w:tc>
      </w:tr>
      <w:bookmarkEnd w:id="0"/>
      <w:tr w:rsidR="005C396A" w:rsidRPr="00627CFF" w14:paraId="5AB652C0" w14:textId="77777777" w:rsidTr="00A5714F">
        <w:trPr>
          <w:trHeight w:val="737"/>
        </w:trPr>
        <w:tc>
          <w:tcPr>
            <w:tcW w:w="5215" w:type="dxa"/>
            <w:vAlign w:val="center"/>
          </w:tcPr>
          <w:p w14:paraId="3667934C" w14:textId="730E2CC0" w:rsidR="00176859" w:rsidRPr="001267F1" w:rsidRDefault="001267F1" w:rsidP="001267F1">
            <w:pPr>
              <w:ind w:right="75"/>
              <w:rPr>
                <w:rFonts w:ascii="Nirmala UI" w:hAnsi="Nirmala UI" w:cs="Nirmala UI"/>
                <w:sz w:val="24"/>
                <w:szCs w:val="24"/>
              </w:rPr>
            </w:pPr>
            <w:r w:rsidRPr="001267F1">
              <w:rPr>
                <w:rFonts w:ascii="Nirmala UI" w:hAnsi="Nirmala UI" w:cs="Nirmala UI"/>
                <w:sz w:val="24"/>
                <w:szCs w:val="24"/>
              </w:rPr>
              <w:t>Does the medical record include</w:t>
            </w:r>
            <w:r w:rsidR="00BE04D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267F1">
              <w:rPr>
                <w:rFonts w:ascii="Nirmala UI" w:hAnsi="Nirmala UI" w:cs="Nirmala UI"/>
                <w:sz w:val="24"/>
                <w:szCs w:val="24"/>
              </w:rPr>
              <w:t>documentation of clinical indication</w:t>
            </w:r>
            <w:r w:rsidR="00176859" w:rsidRPr="001267F1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3E8AA1D4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676F05F9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94517FF" w14:textId="0CBA4E90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0244CDD4" w14:textId="77777777" w:rsidTr="00A5714F">
        <w:trPr>
          <w:trHeight w:val="530"/>
        </w:trPr>
        <w:tc>
          <w:tcPr>
            <w:tcW w:w="5215" w:type="dxa"/>
            <w:vAlign w:val="center"/>
          </w:tcPr>
          <w:p w14:paraId="1F9163AC" w14:textId="22E28AD8" w:rsidR="005C396A" w:rsidRPr="00627CFF" w:rsidRDefault="009F3533" w:rsidP="003C1DDD">
            <w:pPr>
              <w:ind w:right="75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Is the order time limited</w:t>
            </w:r>
            <w:r w:rsidR="00176859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27A981BF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2CE34212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56A8388" w14:textId="1F72F70D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762A6E48" w14:textId="77777777" w:rsidTr="002D3933">
        <w:trPr>
          <w:trHeight w:val="2330"/>
        </w:trPr>
        <w:tc>
          <w:tcPr>
            <w:tcW w:w="5215" w:type="dxa"/>
            <w:vAlign w:val="center"/>
          </w:tcPr>
          <w:p w14:paraId="2498F431" w14:textId="4488339C" w:rsidR="005C396A" w:rsidRPr="00627CFF" w:rsidRDefault="009F3533" w:rsidP="002D3933">
            <w:pPr>
              <w:ind w:right="-105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Does the care plan and/or medication administration record (MAR) reflect special instructions related to antibiotic administration such as taking with food or water, infusing IV antibiotic over certain </w:t>
            </w:r>
            <w:proofErr w:type="gramStart"/>
            <w:r>
              <w:rPr>
                <w:rFonts w:ascii="Nirmala UI" w:hAnsi="Nirmala UI" w:cs="Nirmala UI"/>
                <w:sz w:val="24"/>
                <w:szCs w:val="24"/>
              </w:rPr>
              <w:t>period of time</w:t>
            </w:r>
            <w:proofErr w:type="gramEnd"/>
            <w:r>
              <w:rPr>
                <w:rFonts w:ascii="Nirmala UI" w:hAnsi="Nirmala UI" w:cs="Nirmala UI"/>
                <w:sz w:val="24"/>
                <w:szCs w:val="24"/>
              </w:rPr>
              <w:t>, monitoring of drug levels, and other labs (as appropriate)</w:t>
            </w:r>
            <w:r w:rsidR="00BE04D2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1ADCBBCB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211D29DF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6DC22A8" w14:textId="5D8D1C05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085C2EA7" w14:textId="77777777" w:rsidTr="00B54B24">
        <w:trPr>
          <w:trHeight w:val="1340"/>
        </w:trPr>
        <w:tc>
          <w:tcPr>
            <w:tcW w:w="5215" w:type="dxa"/>
            <w:vAlign w:val="center"/>
          </w:tcPr>
          <w:p w14:paraId="54D5A5AF" w14:textId="77C40B66" w:rsidR="005C396A" w:rsidRPr="00627CFF" w:rsidRDefault="00BE04D2" w:rsidP="002A34C7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Is there a system </w:t>
            </w:r>
            <w:r w:rsidR="009F3533">
              <w:rPr>
                <w:rFonts w:ascii="Nirmala UI" w:hAnsi="Nirmala UI" w:cs="Nirmala UI"/>
                <w:sz w:val="24"/>
                <w:szCs w:val="24"/>
              </w:rPr>
              <w:t>to ensure changes in condition are identified and assessed promptly, including an assessment of medications?</w:t>
            </w:r>
          </w:p>
        </w:tc>
        <w:tc>
          <w:tcPr>
            <w:tcW w:w="495" w:type="dxa"/>
            <w:vAlign w:val="center"/>
          </w:tcPr>
          <w:p w14:paraId="23420936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37681FE7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09CBF1B" w14:textId="11DA60F0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445C7C89" w14:textId="77777777" w:rsidTr="00B54B24">
        <w:trPr>
          <w:trHeight w:val="1070"/>
        </w:trPr>
        <w:tc>
          <w:tcPr>
            <w:tcW w:w="5215" w:type="dxa"/>
            <w:vAlign w:val="center"/>
          </w:tcPr>
          <w:p w14:paraId="537666DA" w14:textId="4B85197D" w:rsidR="005C396A" w:rsidRPr="00627CFF" w:rsidRDefault="009F3533" w:rsidP="002A34C7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Is there a system to ensure lab results are appropriately communicated to the physician</w:t>
            </w:r>
            <w:r w:rsidR="002D3933">
              <w:rPr>
                <w:rFonts w:ascii="Nirmala UI" w:hAnsi="Nirmala UI" w:cs="Nirmala UI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including when panic levels are obtained</w:t>
            </w:r>
            <w:r w:rsidR="00D30DAB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00549D27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491DA07B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0A27B2F" w14:textId="6FEDAD7F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5A1B31D4" w14:textId="77777777" w:rsidTr="00A5714F">
        <w:trPr>
          <w:trHeight w:val="1790"/>
        </w:trPr>
        <w:tc>
          <w:tcPr>
            <w:tcW w:w="5215" w:type="dxa"/>
            <w:vAlign w:val="center"/>
          </w:tcPr>
          <w:p w14:paraId="2B227208" w14:textId="5CE518CE" w:rsidR="005C396A" w:rsidRPr="00627CFF" w:rsidRDefault="009F3533" w:rsidP="002A34C7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For residents with liver or kidney disease</w:t>
            </w:r>
            <w:r w:rsidR="00B54B24">
              <w:rPr>
                <w:rFonts w:ascii="Nirmala UI" w:hAnsi="Nirmala UI" w:cs="Nirmala UI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is there a system of additional monitoring to ensure antibiotics do not adversely affect kidney or liver function, i.e., additional lab work, monitoring intake/output</w:t>
            </w:r>
            <w:r w:rsidR="00BE04D2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637D63B6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5C672FE8" w14:textId="77777777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DA5BB9B" w14:textId="17CDEA7F" w:rsidR="005C396A" w:rsidRPr="00627CFF" w:rsidRDefault="005C396A" w:rsidP="002A34C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47B94297" w14:textId="6BADD3AE" w:rsidR="00E372B2" w:rsidRDefault="00E372B2"/>
    <w:tbl>
      <w:tblPr>
        <w:tblStyle w:val="TableGrid"/>
        <w:tblpPr w:leftFromText="180" w:rightFromText="180" w:vertAnchor="page" w:horzAnchor="margin" w:tblpY="1767"/>
        <w:tblW w:w="9985" w:type="dxa"/>
        <w:tblLayout w:type="fixed"/>
        <w:tblLook w:val="04A0" w:firstRow="1" w:lastRow="0" w:firstColumn="1" w:lastColumn="0" w:noHBand="0" w:noVBand="1"/>
      </w:tblPr>
      <w:tblGrid>
        <w:gridCol w:w="5215"/>
        <w:gridCol w:w="495"/>
        <w:gridCol w:w="495"/>
        <w:gridCol w:w="3780"/>
      </w:tblGrid>
      <w:tr w:rsidR="00D130AF" w:rsidRPr="00627CFF" w14:paraId="6300D96C" w14:textId="77777777" w:rsidTr="00A5714F">
        <w:trPr>
          <w:trHeight w:val="1073"/>
        </w:trPr>
        <w:tc>
          <w:tcPr>
            <w:tcW w:w="5215" w:type="dxa"/>
            <w:shd w:val="clear" w:color="auto" w:fill="0B4A72"/>
            <w:vAlign w:val="center"/>
          </w:tcPr>
          <w:p w14:paraId="4DE82ED5" w14:textId="77777777" w:rsidR="00D130AF" w:rsidRDefault="00D130AF" w:rsidP="00D130AF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627CFF">
              <w:rPr>
                <w:rFonts w:ascii="Nirmala UI" w:hAnsi="Nirmala UI" w:cs="Nirmala UI"/>
                <w:b/>
                <w:sz w:val="24"/>
                <w:szCs w:val="24"/>
              </w:rPr>
              <w:lastRenderedPageBreak/>
              <w:t>Question</w:t>
            </w:r>
          </w:p>
          <w:p w14:paraId="5F5973F3" w14:textId="77777777" w:rsidR="00D130AF" w:rsidRDefault="00D130AF" w:rsidP="00D130AF">
            <w:pPr>
              <w:ind w:left="-120" w:right="-105"/>
              <w:jc w:val="center"/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</w:pP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(Check the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” and/or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NI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” box(es) to designate </w:t>
            </w:r>
          </w:p>
          <w:p w14:paraId="05C21190" w14:textId="77777777" w:rsidR="00D130AF" w:rsidRDefault="00D130AF" w:rsidP="00A5714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proofErr w:type="gramStart"/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Yes</w:t>
            </w:r>
            <w:proofErr w:type="gramEnd"/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 and if the area 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Needs Improvement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01288474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E372B2">
              <w:rPr>
                <w:rFonts w:ascii="Nirmala UI" w:hAnsi="Nirmala UI" w:cs="Nirmala U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0A6E0007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E372B2">
              <w:rPr>
                <w:rFonts w:ascii="Nirmala UI" w:hAnsi="Nirmala UI" w:cs="Nirmala UI"/>
                <w:b/>
                <w:bCs/>
                <w:sz w:val="24"/>
                <w:szCs w:val="24"/>
              </w:rPr>
              <w:t>NI</w:t>
            </w:r>
          </w:p>
        </w:tc>
        <w:tc>
          <w:tcPr>
            <w:tcW w:w="3780" w:type="dxa"/>
            <w:shd w:val="clear" w:color="auto" w:fill="0B4A72"/>
            <w:vAlign w:val="center"/>
          </w:tcPr>
          <w:p w14:paraId="3903D4A0" w14:textId="77777777" w:rsidR="00D130AF" w:rsidRPr="00E372B2" w:rsidRDefault="00D130AF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E372B2">
              <w:rPr>
                <w:rFonts w:ascii="Nirmala UI" w:hAnsi="Nirmala UI" w:cs="Nirmala UI"/>
                <w:b/>
                <w:bCs/>
                <w:sz w:val="24"/>
                <w:szCs w:val="24"/>
              </w:rPr>
              <w:t>Comments</w:t>
            </w:r>
          </w:p>
        </w:tc>
      </w:tr>
      <w:tr w:rsidR="00A5714F" w:rsidRPr="00627CFF" w14:paraId="2A8D1920" w14:textId="77777777" w:rsidTr="00A5714F">
        <w:trPr>
          <w:trHeight w:val="1163"/>
        </w:trPr>
        <w:tc>
          <w:tcPr>
            <w:tcW w:w="5215" w:type="dxa"/>
            <w:shd w:val="clear" w:color="auto" w:fill="auto"/>
            <w:vAlign w:val="center"/>
          </w:tcPr>
          <w:p w14:paraId="2FD9D88F" w14:textId="2F72B31C" w:rsidR="00A5714F" w:rsidRDefault="00A5714F" w:rsidP="0052010A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Is there a system to evaluate appropriate use of antibiotics, i.e., an antibiotic stewardship program</w:t>
            </w:r>
            <w:r w:rsidR="00B54B24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355C5DC" w14:textId="77777777" w:rsidR="00A5714F" w:rsidRPr="00E372B2" w:rsidRDefault="00A5714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1C945B15" w14:textId="77777777" w:rsidR="00A5714F" w:rsidRPr="00E372B2" w:rsidRDefault="00A5714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27701CF" w14:textId="77777777" w:rsidR="00A5714F" w:rsidRPr="00E372B2" w:rsidRDefault="00A5714F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52010A" w:rsidRPr="00627CFF" w14:paraId="1A417A23" w14:textId="77777777" w:rsidTr="00B54B24">
        <w:trPr>
          <w:trHeight w:val="1703"/>
        </w:trPr>
        <w:tc>
          <w:tcPr>
            <w:tcW w:w="5215" w:type="dxa"/>
            <w:shd w:val="clear" w:color="auto" w:fill="auto"/>
            <w:vAlign w:val="center"/>
          </w:tcPr>
          <w:p w14:paraId="10AC5695" w14:textId="32BCD300" w:rsidR="0052010A" w:rsidRPr="0052010A" w:rsidRDefault="009F3533" w:rsidP="0052010A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For residents with risk factors for drug toxicity related to antibiotic use, does the care plan reflect interdisciplinary monitoring for signs/symptoms of adverse drug reactions to antibiotics?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E823DAA" w14:textId="77777777" w:rsidR="0052010A" w:rsidRPr="00E372B2" w:rsidRDefault="0052010A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5846AB1" w14:textId="77777777" w:rsidR="0052010A" w:rsidRPr="00E372B2" w:rsidRDefault="0052010A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3FDCA29" w14:textId="77777777" w:rsidR="0052010A" w:rsidRPr="00E372B2" w:rsidRDefault="0052010A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9F3533" w:rsidRPr="00627CFF" w14:paraId="12154553" w14:textId="77777777" w:rsidTr="00B54B24">
        <w:trPr>
          <w:trHeight w:val="1055"/>
        </w:trPr>
        <w:tc>
          <w:tcPr>
            <w:tcW w:w="5215" w:type="dxa"/>
            <w:shd w:val="clear" w:color="auto" w:fill="auto"/>
            <w:vAlign w:val="center"/>
          </w:tcPr>
          <w:p w14:paraId="2609538C" w14:textId="7EAC39E2" w:rsidR="009F3533" w:rsidRDefault="009F3533" w:rsidP="0052010A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Is there a system to ensure that dietary adjustments are made if needed when antibiotics are ordered?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ED6E6B8" w14:textId="77777777" w:rsidR="009F3533" w:rsidRPr="00E372B2" w:rsidRDefault="009F3533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55DF7EA" w14:textId="77777777" w:rsidR="009F3533" w:rsidRPr="00E372B2" w:rsidRDefault="009F3533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0FC8209" w14:textId="77777777" w:rsidR="009F3533" w:rsidRPr="00E372B2" w:rsidRDefault="009F3533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9F3533" w:rsidRPr="00627CFF" w14:paraId="6B7DA942" w14:textId="77777777" w:rsidTr="00090DA0">
        <w:trPr>
          <w:trHeight w:val="1433"/>
        </w:trPr>
        <w:tc>
          <w:tcPr>
            <w:tcW w:w="5215" w:type="dxa"/>
            <w:shd w:val="clear" w:color="auto" w:fill="auto"/>
            <w:vAlign w:val="center"/>
          </w:tcPr>
          <w:p w14:paraId="0536647C" w14:textId="3ED39205" w:rsidR="009F3533" w:rsidRDefault="009F3533" w:rsidP="0052010A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Is there a system to ensure antibiotics are not given in conjunction with medications that impact their absorption (e.g., Milk of Magnesia)?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2B9963B" w14:textId="77777777" w:rsidR="009F3533" w:rsidRPr="00E372B2" w:rsidRDefault="009F3533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74C51D36" w14:textId="77777777" w:rsidR="009F3533" w:rsidRPr="00E372B2" w:rsidRDefault="009F3533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8FEA145" w14:textId="77777777" w:rsidR="009F3533" w:rsidRPr="00E372B2" w:rsidRDefault="009F3533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</w:tbl>
    <w:p w14:paraId="153FAFAF" w14:textId="3BD2AB96" w:rsidR="005F6F32" w:rsidRDefault="00A5714F" w:rsidP="004B0C9A">
      <w:pPr>
        <w:spacing w:after="0" w:line="240" w:lineRule="auto"/>
        <w:rPr>
          <w:rFonts w:ascii="Nirmala UI" w:hAnsi="Nirmala UI" w:cs="Nirmala UI"/>
          <w:sz w:val="12"/>
          <w:szCs w:val="12"/>
        </w:rPr>
      </w:pPr>
      <w:r w:rsidRPr="004F68E6">
        <w:rPr>
          <w:rFonts w:ascii="Nirmala UI" w:hAnsi="Nirmala UI" w:cs="Nirmala U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0B114" wp14:editId="0E52DA8F">
                <wp:simplePos x="0" y="0"/>
                <wp:positionH relativeFrom="margin">
                  <wp:posOffset>-209550</wp:posOffset>
                </wp:positionH>
                <wp:positionV relativeFrom="paragraph">
                  <wp:posOffset>8136890</wp:posOffset>
                </wp:positionV>
                <wp:extent cx="3829050" cy="72390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AE35" w14:textId="2DAE2EA5" w:rsidR="00BA6D33" w:rsidRPr="003A5CD2" w:rsidRDefault="00BA6D33" w:rsidP="00BA6D33">
                            <w:pPr>
                              <w:spacing w:after="0" w:line="240" w:lineRule="auto"/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</w:pPr>
                            <w:r w:rsidRPr="003A5CD2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      </w:r>
                            <w:r w:rsidR="00121F54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>material d</w:t>
                            </w:r>
                            <w:r w:rsidRPr="003A5CD2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 xml:space="preserve">o not necessarily reflect the official views or policy of CMS or HHS, and any reference to a specific product or entity herein does not constitute endorsement of that product or entity by CMS or HHS. </w:t>
                            </w:r>
                            <w:r w:rsidR="00B62012" w:rsidRPr="00B62012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>12SOW/HQI/QIN-QIO-0115-10/12/21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B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16.5pt;margin-top:640.7pt;width:301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LxDAIAAPQDAAAOAAAAZHJzL2Uyb0RvYy54bWysU9tuGyEQfa/Uf0C817ve2LW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G0mi4osdxg&#10;k57kEMkHGEiV9OldqDHs0WFgHPAa+5y5BvcA4mcgFm47bnfyxnvoO8kbrG+aMouL1BEnJJBt/wUa&#10;fIbvI2SgofUmiYdyEETHPh3PvUmlCLy8Wlarco4ugb5FdbUqc/MKXr9kOx/iJwmGpAOjHnuf0fnh&#10;IcRUDa9fQtJjFu6V1rn/2pKe0dW8mueEC49REcdTK8PoskxrHJhE8qNtcnLkSo9nfEDbE+tEdKQc&#10;h+2AgUmKLTRH5O9hHEP8NnjowP+mpMcRZDT82nMvKdGfLWq4ms5maWazMZsvKjT8pWd76eFWIBSj&#10;kZLxeBvznI9cb1DrVmUZXis51YqjldU5fYM0u5d2jnr9rJtnAAAA//8DAFBLAwQUAAYACAAAACEA&#10;o0Rrq+AAAAANAQAADwAAAGRycy9kb3ducmV2LnhtbEyPwU7DMBBE70j8g7VI3Fq7TULbEKdCIK6g&#10;ForEzY23SUS8jmK3CX/PcoLjzoxm3xTbyXXigkNoPWlYzBUIpMrblmoN72/PszWIEA1Z03lCDd8Y&#10;YFteXxUmt36kHV72sRZcQiE3GpoY+1zKUDXoTJj7Hom9kx+ciXwOtbSDGbncdXKp1J10piX+0Jge&#10;HxusvvZnp+Hwcvr8SNVr/eSyfvSTkuQ2Uuvbm+nhHkTEKf6F4Ref0aFkpqM/kw2i0zBLEt4S2Viu&#10;FykIjmQrxdKRpWSTpSDLQv5fUf4AAAD//wMAUEsBAi0AFAAGAAgAAAAhALaDOJL+AAAA4QEAABMA&#10;AAAAAAAAAAAAAAAAAAAAAFtDb250ZW50X1R5cGVzXS54bWxQSwECLQAUAAYACAAAACEAOP0h/9YA&#10;AACUAQAACwAAAAAAAAAAAAAAAAAvAQAAX3JlbHMvLnJlbHNQSwECLQAUAAYACAAAACEAHobC8QwC&#10;AAD0AwAADgAAAAAAAAAAAAAAAAAuAgAAZHJzL2Uyb0RvYy54bWxQSwECLQAUAAYACAAAACEAo0Rr&#10;q+AAAAANAQAADwAAAAAAAAAAAAAAAABmBAAAZHJzL2Rvd25yZXYueG1sUEsFBgAAAAAEAAQA8wAA&#10;AHMFAAAAAA==&#10;" filled="f" stroked="f">
                <v:textbox>
                  <w:txbxContent>
                    <w:p w14:paraId="19EBAE35" w14:textId="2DAE2EA5" w:rsidR="00BA6D33" w:rsidRPr="003A5CD2" w:rsidRDefault="00BA6D33" w:rsidP="00BA6D33">
                      <w:pPr>
                        <w:spacing w:after="0" w:line="240" w:lineRule="auto"/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</w:pPr>
                      <w:r w:rsidRPr="003A5CD2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</w:r>
                      <w:r w:rsidR="00121F54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>material d</w:t>
                      </w:r>
                      <w:r w:rsidRPr="003A5CD2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 xml:space="preserve">o not necessarily reflect the official views or policy of CMS or HHS, and any reference to a specific product or entity herein does not constitute endorsement of that product or entity by CMS or HHS. </w:t>
                      </w:r>
                      <w:r w:rsidR="00B62012" w:rsidRPr="00B62012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>12SOW/HQI/QIN-QIO-0115-10/12/21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6F32" w:rsidSect="00C9452B">
      <w:headerReference w:type="default" r:id="rId11"/>
      <w:footerReference w:type="default" r:id="rId12"/>
      <w:pgSz w:w="12240" w:h="15840"/>
      <w:pgMar w:top="1080" w:right="1080" w:bottom="720" w:left="108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06E9" w14:textId="77777777" w:rsidR="00092AE4" w:rsidRDefault="00092AE4" w:rsidP="00552D35">
      <w:pPr>
        <w:spacing w:after="0" w:line="240" w:lineRule="auto"/>
      </w:pPr>
      <w:r>
        <w:separator/>
      </w:r>
    </w:p>
  </w:endnote>
  <w:endnote w:type="continuationSeparator" w:id="0">
    <w:p w14:paraId="1FAD4652" w14:textId="77777777" w:rsidR="00092AE4" w:rsidRDefault="00092AE4" w:rsidP="00552D35">
      <w:pPr>
        <w:spacing w:after="0" w:line="240" w:lineRule="auto"/>
      </w:pPr>
      <w:r>
        <w:continuationSeparator/>
      </w:r>
    </w:p>
  </w:endnote>
  <w:endnote w:type="continuationNotice" w:id="1">
    <w:p w14:paraId="2E088629" w14:textId="77777777" w:rsidR="00092AE4" w:rsidRDefault="00092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1690" w14:textId="6232125D" w:rsidR="00296742" w:rsidRDefault="00A65E4E">
    <w:pPr>
      <w:pStyle w:val="Footer"/>
    </w:pPr>
    <w:r w:rsidRPr="000965EC">
      <w:rPr>
        <w:noProof/>
      </w:rPr>
      <w:drawing>
        <wp:anchor distT="0" distB="0" distL="114300" distR="114300" simplePos="0" relativeHeight="251658241" behindDoc="0" locked="0" layoutInCell="1" allowOverlap="1" wp14:anchorId="47677F66" wp14:editId="153B8DEC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7391400" cy="77470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5EC" w:rsidRPr="000965EC">
      <w:rPr>
        <w:noProof/>
      </w:rPr>
      <w:drawing>
        <wp:anchor distT="0" distB="0" distL="114300" distR="114300" simplePos="0" relativeHeight="251658242" behindDoc="0" locked="0" layoutInCell="1" allowOverlap="1" wp14:anchorId="5B6AD482" wp14:editId="35F76BC1">
          <wp:simplePos x="0" y="0"/>
          <wp:positionH relativeFrom="column">
            <wp:posOffset>3727923</wp:posOffset>
          </wp:positionH>
          <wp:positionV relativeFrom="paragraph">
            <wp:posOffset>-350520</wp:posOffset>
          </wp:positionV>
          <wp:extent cx="2861945" cy="459740"/>
          <wp:effectExtent l="0" t="0" r="0" b="0"/>
          <wp:wrapSquare wrapText="bothSides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4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A52E" w14:textId="77777777" w:rsidR="00092AE4" w:rsidRDefault="00092AE4" w:rsidP="00552D35">
      <w:pPr>
        <w:spacing w:after="0" w:line="240" w:lineRule="auto"/>
      </w:pPr>
      <w:r>
        <w:separator/>
      </w:r>
    </w:p>
  </w:footnote>
  <w:footnote w:type="continuationSeparator" w:id="0">
    <w:p w14:paraId="706F9452" w14:textId="77777777" w:rsidR="00092AE4" w:rsidRDefault="00092AE4" w:rsidP="00552D35">
      <w:pPr>
        <w:spacing w:after="0" w:line="240" w:lineRule="auto"/>
      </w:pPr>
      <w:r>
        <w:continuationSeparator/>
      </w:r>
    </w:p>
  </w:footnote>
  <w:footnote w:type="continuationNotice" w:id="1">
    <w:p w14:paraId="458558B6" w14:textId="77777777" w:rsidR="00092AE4" w:rsidRDefault="00092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E799" w14:textId="70864721" w:rsidR="0031581E" w:rsidRPr="00EF12CB" w:rsidRDefault="00296742" w:rsidP="00A65E4E">
    <w:pPr>
      <w:spacing w:after="0"/>
      <w:jc w:val="center"/>
      <w:rPr>
        <w:sz w:val="12"/>
        <w:szCs w:val="12"/>
      </w:rPr>
    </w:pPr>
    <w:r w:rsidRPr="00296742">
      <w:rPr>
        <w:rFonts w:ascii="Nirmala UI" w:hAnsi="Nirmala UI" w:cs="Nirmala UI"/>
        <w:noProof/>
        <w:color w:val="0073B6"/>
        <w:sz w:val="16"/>
        <w:szCs w:val="16"/>
      </w:rPr>
      <w:drawing>
        <wp:anchor distT="0" distB="0" distL="114300" distR="114300" simplePos="0" relativeHeight="251658240" behindDoc="0" locked="0" layoutInCell="1" allowOverlap="1" wp14:anchorId="04B734C5" wp14:editId="270C7751">
          <wp:simplePos x="0" y="0"/>
          <wp:positionH relativeFrom="margin">
            <wp:align>center</wp:align>
          </wp:positionH>
          <wp:positionV relativeFrom="paragraph">
            <wp:posOffset>-188595</wp:posOffset>
          </wp:positionV>
          <wp:extent cx="7431406" cy="82041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6" cy="82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533">
      <w:rPr>
        <w:rFonts w:ascii="Nirmala UI" w:hAnsi="Nirmala UI" w:cs="Nirmala UI"/>
        <w:b/>
        <w:color w:val="0073B6"/>
        <w:sz w:val="36"/>
        <w:szCs w:val="36"/>
      </w:rPr>
      <w:t>Antibiotic</w:t>
    </w:r>
    <w:r w:rsidR="00D30DAB">
      <w:rPr>
        <w:rFonts w:ascii="Nirmala UI" w:hAnsi="Nirmala UI" w:cs="Nirmala UI"/>
        <w:b/>
        <w:color w:val="0073B6"/>
        <w:sz w:val="36"/>
        <w:szCs w:val="36"/>
      </w:rPr>
      <w:t xml:space="preserve"> Adverse Drug Events</w:t>
    </w:r>
    <w:r w:rsidR="00A65E4E" w:rsidRPr="00A65E4E">
      <w:rPr>
        <w:rFonts w:ascii="Nirmala UI" w:hAnsi="Nirmala UI" w:cs="Nirmala UI"/>
        <w:b/>
        <w:color w:val="0073B6"/>
        <w:sz w:val="36"/>
        <w:szCs w:val="36"/>
      </w:rPr>
      <w:t xml:space="preserve">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733"/>
    <w:multiLevelType w:val="hybridMultilevel"/>
    <w:tmpl w:val="8BD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02985"/>
    <w:multiLevelType w:val="hybridMultilevel"/>
    <w:tmpl w:val="417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35"/>
    <w:rsid w:val="000201EC"/>
    <w:rsid w:val="00046BA2"/>
    <w:rsid w:val="00051AC9"/>
    <w:rsid w:val="00054B61"/>
    <w:rsid w:val="000567AD"/>
    <w:rsid w:val="0005686E"/>
    <w:rsid w:val="00072D29"/>
    <w:rsid w:val="000757A5"/>
    <w:rsid w:val="000814F2"/>
    <w:rsid w:val="00083518"/>
    <w:rsid w:val="00090DA0"/>
    <w:rsid w:val="00092AE4"/>
    <w:rsid w:val="000965EC"/>
    <w:rsid w:val="00097721"/>
    <w:rsid w:val="000A07E6"/>
    <w:rsid w:val="000A4337"/>
    <w:rsid w:val="000A59D5"/>
    <w:rsid w:val="000B19FA"/>
    <w:rsid w:val="0011369F"/>
    <w:rsid w:val="00117151"/>
    <w:rsid w:val="0011750F"/>
    <w:rsid w:val="00121F54"/>
    <w:rsid w:val="001267F1"/>
    <w:rsid w:val="00147370"/>
    <w:rsid w:val="00147A33"/>
    <w:rsid w:val="00153497"/>
    <w:rsid w:val="00160709"/>
    <w:rsid w:val="00176859"/>
    <w:rsid w:val="00177E97"/>
    <w:rsid w:val="001808A1"/>
    <w:rsid w:val="00182551"/>
    <w:rsid w:val="00183D36"/>
    <w:rsid w:val="001B4F40"/>
    <w:rsid w:val="001B758B"/>
    <w:rsid w:val="001D0DB5"/>
    <w:rsid w:val="001D631D"/>
    <w:rsid w:val="001E66EB"/>
    <w:rsid w:val="001E7D17"/>
    <w:rsid w:val="00206847"/>
    <w:rsid w:val="00226E2D"/>
    <w:rsid w:val="002453DB"/>
    <w:rsid w:val="00250955"/>
    <w:rsid w:val="0026517D"/>
    <w:rsid w:val="002779BD"/>
    <w:rsid w:val="00281E86"/>
    <w:rsid w:val="002826B8"/>
    <w:rsid w:val="002934D3"/>
    <w:rsid w:val="00296742"/>
    <w:rsid w:val="002A34C7"/>
    <w:rsid w:val="002A40CD"/>
    <w:rsid w:val="002D3933"/>
    <w:rsid w:val="002D3F3B"/>
    <w:rsid w:val="00306A69"/>
    <w:rsid w:val="0031581E"/>
    <w:rsid w:val="003259FE"/>
    <w:rsid w:val="00330726"/>
    <w:rsid w:val="0033711A"/>
    <w:rsid w:val="003374E4"/>
    <w:rsid w:val="0034202F"/>
    <w:rsid w:val="00362DBD"/>
    <w:rsid w:val="00364E15"/>
    <w:rsid w:val="00376F0E"/>
    <w:rsid w:val="0038462E"/>
    <w:rsid w:val="003A3684"/>
    <w:rsid w:val="003A5CD2"/>
    <w:rsid w:val="003B03C4"/>
    <w:rsid w:val="003C1DDD"/>
    <w:rsid w:val="003D772A"/>
    <w:rsid w:val="00403254"/>
    <w:rsid w:val="00415F51"/>
    <w:rsid w:val="00416CB5"/>
    <w:rsid w:val="004212A6"/>
    <w:rsid w:val="0042604F"/>
    <w:rsid w:val="0044314A"/>
    <w:rsid w:val="00472329"/>
    <w:rsid w:val="004845C0"/>
    <w:rsid w:val="004B0C9A"/>
    <w:rsid w:val="004B2B47"/>
    <w:rsid w:val="004C5018"/>
    <w:rsid w:val="004F05B3"/>
    <w:rsid w:val="004F4531"/>
    <w:rsid w:val="005077FA"/>
    <w:rsid w:val="0051520C"/>
    <w:rsid w:val="0052010A"/>
    <w:rsid w:val="00544FBD"/>
    <w:rsid w:val="00552D35"/>
    <w:rsid w:val="00565B98"/>
    <w:rsid w:val="0057684E"/>
    <w:rsid w:val="00586AC7"/>
    <w:rsid w:val="005A3F6E"/>
    <w:rsid w:val="005B5DAC"/>
    <w:rsid w:val="005C396A"/>
    <w:rsid w:val="005C738F"/>
    <w:rsid w:val="005F6F32"/>
    <w:rsid w:val="00600E4E"/>
    <w:rsid w:val="0060127B"/>
    <w:rsid w:val="00611084"/>
    <w:rsid w:val="00614A8D"/>
    <w:rsid w:val="00627768"/>
    <w:rsid w:val="00627CFF"/>
    <w:rsid w:val="00640D46"/>
    <w:rsid w:val="006430A4"/>
    <w:rsid w:val="00655D59"/>
    <w:rsid w:val="0066235F"/>
    <w:rsid w:val="00675D38"/>
    <w:rsid w:val="00685A42"/>
    <w:rsid w:val="006B2DC7"/>
    <w:rsid w:val="006B5418"/>
    <w:rsid w:val="006E1243"/>
    <w:rsid w:val="006E4534"/>
    <w:rsid w:val="006F7B44"/>
    <w:rsid w:val="00701DAD"/>
    <w:rsid w:val="00711A05"/>
    <w:rsid w:val="00713612"/>
    <w:rsid w:val="00757AF5"/>
    <w:rsid w:val="00762407"/>
    <w:rsid w:val="00772FFF"/>
    <w:rsid w:val="00777F0F"/>
    <w:rsid w:val="00786BA5"/>
    <w:rsid w:val="007B1C4A"/>
    <w:rsid w:val="007E2E65"/>
    <w:rsid w:val="007F2D3B"/>
    <w:rsid w:val="007F4C46"/>
    <w:rsid w:val="00800C9E"/>
    <w:rsid w:val="008218A5"/>
    <w:rsid w:val="008228E4"/>
    <w:rsid w:val="00826AC7"/>
    <w:rsid w:val="008541B7"/>
    <w:rsid w:val="0086570F"/>
    <w:rsid w:val="008720AD"/>
    <w:rsid w:val="008D790F"/>
    <w:rsid w:val="008F127F"/>
    <w:rsid w:val="00902D7D"/>
    <w:rsid w:val="00903DF9"/>
    <w:rsid w:val="00906141"/>
    <w:rsid w:val="009247CC"/>
    <w:rsid w:val="009D1E55"/>
    <w:rsid w:val="009F1A1F"/>
    <w:rsid w:val="009F3533"/>
    <w:rsid w:val="00A17411"/>
    <w:rsid w:val="00A30161"/>
    <w:rsid w:val="00A515AA"/>
    <w:rsid w:val="00A5714F"/>
    <w:rsid w:val="00A65E4E"/>
    <w:rsid w:val="00A70C7F"/>
    <w:rsid w:val="00A82E7E"/>
    <w:rsid w:val="00A85118"/>
    <w:rsid w:val="00A90C63"/>
    <w:rsid w:val="00AA134B"/>
    <w:rsid w:val="00AB6CCE"/>
    <w:rsid w:val="00AC1199"/>
    <w:rsid w:val="00AC2F2B"/>
    <w:rsid w:val="00AC7234"/>
    <w:rsid w:val="00AD49AD"/>
    <w:rsid w:val="00AE257A"/>
    <w:rsid w:val="00AE3672"/>
    <w:rsid w:val="00AE4AD5"/>
    <w:rsid w:val="00AF1365"/>
    <w:rsid w:val="00B05A6E"/>
    <w:rsid w:val="00B42E44"/>
    <w:rsid w:val="00B469D6"/>
    <w:rsid w:val="00B54B24"/>
    <w:rsid w:val="00B62012"/>
    <w:rsid w:val="00B86064"/>
    <w:rsid w:val="00B93FC8"/>
    <w:rsid w:val="00B94013"/>
    <w:rsid w:val="00BA3D85"/>
    <w:rsid w:val="00BA60E0"/>
    <w:rsid w:val="00BA6799"/>
    <w:rsid w:val="00BA6A06"/>
    <w:rsid w:val="00BA6D33"/>
    <w:rsid w:val="00BA7E21"/>
    <w:rsid w:val="00BC4BAE"/>
    <w:rsid w:val="00BC74E5"/>
    <w:rsid w:val="00BE04D2"/>
    <w:rsid w:val="00BE52BF"/>
    <w:rsid w:val="00BF344F"/>
    <w:rsid w:val="00C12436"/>
    <w:rsid w:val="00C13EEC"/>
    <w:rsid w:val="00C2529F"/>
    <w:rsid w:val="00C53FB5"/>
    <w:rsid w:val="00C60A8F"/>
    <w:rsid w:val="00C70336"/>
    <w:rsid w:val="00C91A7D"/>
    <w:rsid w:val="00C94306"/>
    <w:rsid w:val="00C9452B"/>
    <w:rsid w:val="00CB3B1D"/>
    <w:rsid w:val="00CB3BB4"/>
    <w:rsid w:val="00CB7632"/>
    <w:rsid w:val="00CC2479"/>
    <w:rsid w:val="00CC285B"/>
    <w:rsid w:val="00CC586F"/>
    <w:rsid w:val="00CD7B63"/>
    <w:rsid w:val="00D041DA"/>
    <w:rsid w:val="00D130AF"/>
    <w:rsid w:val="00D30DAB"/>
    <w:rsid w:val="00D51E80"/>
    <w:rsid w:val="00D63B1A"/>
    <w:rsid w:val="00D6658E"/>
    <w:rsid w:val="00D824D1"/>
    <w:rsid w:val="00D87322"/>
    <w:rsid w:val="00D905C0"/>
    <w:rsid w:val="00DA2AE9"/>
    <w:rsid w:val="00DB67B9"/>
    <w:rsid w:val="00DC714B"/>
    <w:rsid w:val="00DF28A7"/>
    <w:rsid w:val="00E00180"/>
    <w:rsid w:val="00E0091F"/>
    <w:rsid w:val="00E019A7"/>
    <w:rsid w:val="00E074A1"/>
    <w:rsid w:val="00E16EFB"/>
    <w:rsid w:val="00E2243C"/>
    <w:rsid w:val="00E363D5"/>
    <w:rsid w:val="00E372B2"/>
    <w:rsid w:val="00E53184"/>
    <w:rsid w:val="00E533C8"/>
    <w:rsid w:val="00E753C9"/>
    <w:rsid w:val="00E814F2"/>
    <w:rsid w:val="00E92F4D"/>
    <w:rsid w:val="00EC76B8"/>
    <w:rsid w:val="00ED5399"/>
    <w:rsid w:val="00ED7B74"/>
    <w:rsid w:val="00EE7206"/>
    <w:rsid w:val="00EF12CB"/>
    <w:rsid w:val="00F22638"/>
    <w:rsid w:val="00F5131B"/>
    <w:rsid w:val="00F60AB4"/>
    <w:rsid w:val="00F71BBF"/>
    <w:rsid w:val="00F73A67"/>
    <w:rsid w:val="00F93215"/>
    <w:rsid w:val="00FA0686"/>
    <w:rsid w:val="00FB7461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4E72C"/>
  <w15:docId w15:val="{8953B9BF-405D-415E-8801-44977676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35"/>
  </w:style>
  <w:style w:type="paragraph" w:styleId="Footer">
    <w:name w:val="footer"/>
    <w:basedOn w:val="Normal"/>
    <w:link w:val="FooterChar"/>
    <w:uiPriority w:val="99"/>
    <w:unhideWhenUsed/>
    <w:rsid w:val="005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35"/>
  </w:style>
  <w:style w:type="paragraph" w:styleId="ListParagraph">
    <w:name w:val="List Paragraph"/>
    <w:basedOn w:val="Normal"/>
    <w:uiPriority w:val="34"/>
    <w:qFormat/>
    <w:rsid w:val="0047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F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F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qin.org/resource/plan-do-study-act-workshe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3" ma:contentTypeDescription="Create a new document." ma:contentTypeScope="" ma:versionID="7d8014238a80a41ed8a64450f3a28351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b4bb0cd51ce9d2d2a4fe43be7bbfbf0b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698f20-16d8-4387-8fa1-6bd4bb26deb7">
      <UserInfo>
        <DisplayName>Chris Burkey</DisplayName>
        <AccountId>17</AccountId>
        <AccountType/>
      </UserInfo>
    </SharedWithUsers>
    <MediaLengthInSeconds xmlns="f5e617e0-9ae6-48ae-8c0a-f049dce7ee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594D3-D50D-42B1-9A67-B007F2E0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617e0-9ae6-48ae-8c0a-f049dce7ee5d"/>
    <ds:schemaRef ds:uri="b6698f20-16d8-4387-8fa1-6bd4bb26d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22285-5D43-4130-A367-AE04FE4C6935}">
  <ds:schemaRefs>
    <ds:schemaRef ds:uri="http://schemas.microsoft.com/office/2006/metadata/properties"/>
    <ds:schemaRef ds:uri="http://schemas.microsoft.com/office/infopath/2007/PartnerControls"/>
    <ds:schemaRef ds:uri="b6698f20-16d8-4387-8fa1-6bd4bb26deb7"/>
    <ds:schemaRef ds:uri="f5e617e0-9ae6-48ae-8c0a-f049dce7ee5d"/>
  </ds:schemaRefs>
</ds:datastoreItem>
</file>

<file path=customXml/itemProps3.xml><?xml version="1.0" encoding="utf-8"?>
<ds:datastoreItem xmlns:ds="http://schemas.openxmlformats.org/officeDocument/2006/customXml" ds:itemID="{828AEE8A-2480-4DBE-A62D-1CCB3AE73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SDPS</dc:creator>
  <cp:keywords/>
  <dc:description/>
  <cp:lastModifiedBy>April Faulkner</cp:lastModifiedBy>
  <cp:revision>10</cp:revision>
  <cp:lastPrinted>2011-09-11T22:57:00Z</cp:lastPrinted>
  <dcterms:created xsi:type="dcterms:W3CDTF">2021-10-12T16:32:00Z</dcterms:created>
  <dcterms:modified xsi:type="dcterms:W3CDTF">2021-10-12T16:41:00Z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0x0101005D11B6B9F23254468F6D1ED128359F2E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