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D5568" w14:textId="77777777" w:rsidR="00A1515E" w:rsidRDefault="00A1515E"/>
    <w:tbl>
      <w:tblPr>
        <w:tblStyle w:val="TableGrid"/>
        <w:tblW w:w="0" w:type="auto"/>
        <w:tblLook w:val="04A0" w:firstRow="1" w:lastRow="0" w:firstColumn="1" w:lastColumn="0" w:noHBand="0" w:noVBand="1"/>
      </w:tblPr>
      <w:tblGrid>
        <w:gridCol w:w="3505"/>
        <w:gridCol w:w="5845"/>
      </w:tblGrid>
      <w:tr w:rsidR="001E6577" w:rsidRPr="00542557" w14:paraId="396A7967" w14:textId="77777777" w:rsidTr="002B151F">
        <w:tc>
          <w:tcPr>
            <w:tcW w:w="3505" w:type="dxa"/>
          </w:tcPr>
          <w:p w14:paraId="1F830ADC" w14:textId="548F914F"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Initial Effective Date</w:t>
            </w:r>
          </w:p>
        </w:tc>
        <w:tc>
          <w:tcPr>
            <w:tcW w:w="5845" w:type="dxa"/>
          </w:tcPr>
          <w:p w14:paraId="01446F32" w14:textId="710C64C1"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30EC09A" w14:textId="77777777" w:rsidTr="002B151F">
        <w:tc>
          <w:tcPr>
            <w:tcW w:w="3505" w:type="dxa"/>
          </w:tcPr>
          <w:p w14:paraId="44C02CA6" w14:textId="4254EB7E" w:rsidR="001E6577" w:rsidRPr="00542557" w:rsidRDefault="001E657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Most Recent Revision Date</w:t>
            </w:r>
          </w:p>
        </w:tc>
        <w:tc>
          <w:tcPr>
            <w:tcW w:w="5845" w:type="dxa"/>
          </w:tcPr>
          <w:p w14:paraId="1B7DC582" w14:textId="65E1893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mm/dd/yyyy</w:t>
            </w:r>
          </w:p>
        </w:tc>
      </w:tr>
      <w:tr w:rsidR="001E6577" w:rsidRPr="00542557" w14:paraId="442B5C8D" w14:textId="77777777" w:rsidTr="002B151F">
        <w:tc>
          <w:tcPr>
            <w:tcW w:w="3505" w:type="dxa"/>
          </w:tcPr>
          <w:p w14:paraId="27FFAC83" w14:textId="13EF186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Authorized/Reviewed by</w:t>
            </w:r>
          </w:p>
        </w:tc>
        <w:tc>
          <w:tcPr>
            <w:tcW w:w="5845" w:type="dxa"/>
          </w:tcPr>
          <w:p w14:paraId="1689EBE5" w14:textId="544A6D69" w:rsidR="001E6577" w:rsidRPr="00542557" w:rsidRDefault="00213157" w:rsidP="00246B1F">
            <w:pPr>
              <w:pStyle w:val="BodyText"/>
              <w:ind w:left="0"/>
              <w:rPr>
                <w:rFonts w:asciiTheme="minorHAnsi" w:hAnsiTheme="minorHAnsi" w:cstheme="minorHAnsi"/>
                <w:sz w:val="24"/>
                <w:szCs w:val="24"/>
              </w:rPr>
            </w:pPr>
            <w:r w:rsidRPr="00542557">
              <w:rPr>
                <w:rFonts w:asciiTheme="minorHAnsi" w:hAnsiTheme="minorHAnsi" w:cstheme="minorHAnsi"/>
                <w:sz w:val="24"/>
                <w:szCs w:val="24"/>
              </w:rPr>
              <w:t>Individual or Committee Name</w:t>
            </w:r>
          </w:p>
        </w:tc>
      </w:tr>
      <w:tr w:rsidR="001E6577" w:rsidRPr="00542557" w14:paraId="018302AE" w14:textId="77777777" w:rsidTr="002B151F">
        <w:tc>
          <w:tcPr>
            <w:tcW w:w="3505" w:type="dxa"/>
          </w:tcPr>
          <w:p w14:paraId="4E8A5514" w14:textId="4ECB9214" w:rsidR="001E6577" w:rsidRPr="00542557" w:rsidRDefault="00213157" w:rsidP="00246B1F">
            <w:pPr>
              <w:pStyle w:val="BodyText"/>
              <w:ind w:left="0"/>
              <w:rPr>
                <w:rFonts w:asciiTheme="minorHAnsi" w:hAnsiTheme="minorHAnsi" w:cstheme="minorHAnsi"/>
                <w:b/>
                <w:bCs/>
                <w:sz w:val="24"/>
                <w:szCs w:val="24"/>
              </w:rPr>
            </w:pPr>
            <w:r w:rsidRPr="00542557">
              <w:rPr>
                <w:rFonts w:asciiTheme="minorHAnsi" w:hAnsiTheme="minorHAnsi" w:cstheme="minorHAnsi"/>
                <w:b/>
                <w:bCs/>
                <w:sz w:val="24"/>
                <w:szCs w:val="24"/>
              </w:rPr>
              <w:t>Standard</w:t>
            </w:r>
          </w:p>
        </w:tc>
        <w:tc>
          <w:tcPr>
            <w:tcW w:w="5845" w:type="dxa"/>
          </w:tcPr>
          <w:p w14:paraId="2BEEC186" w14:textId="48A7777B" w:rsidR="001E6577" w:rsidRPr="00542557" w:rsidRDefault="00716675" w:rsidP="00246B1F">
            <w:pPr>
              <w:pStyle w:val="BodyText"/>
              <w:ind w:left="0"/>
              <w:rPr>
                <w:rFonts w:asciiTheme="minorHAnsi" w:hAnsiTheme="minorHAnsi" w:cstheme="minorHAnsi"/>
                <w:sz w:val="24"/>
                <w:szCs w:val="24"/>
              </w:rPr>
            </w:pPr>
            <w:r w:rsidRPr="00716675">
              <w:rPr>
                <w:rFonts w:asciiTheme="minorHAnsi" w:hAnsiTheme="minorHAnsi" w:cstheme="minorHAnsi"/>
                <w:sz w:val="24"/>
                <w:szCs w:val="24"/>
              </w:rPr>
              <w:t>22VAC40-61-290B1.c</w:t>
            </w:r>
          </w:p>
        </w:tc>
      </w:tr>
    </w:tbl>
    <w:p w14:paraId="1320DAC0" w14:textId="26ED3A5C" w:rsidR="0002749F" w:rsidRPr="00542557" w:rsidRDefault="0002749F" w:rsidP="00246B1F">
      <w:pPr>
        <w:pStyle w:val="BodyText"/>
        <w:ind w:left="0"/>
        <w:rPr>
          <w:rFonts w:asciiTheme="minorHAnsi" w:hAnsiTheme="minorHAnsi" w:cstheme="minorHAnsi"/>
          <w:sz w:val="24"/>
          <w:szCs w:val="24"/>
        </w:rPr>
      </w:pPr>
    </w:p>
    <w:p w14:paraId="036A96FA" w14:textId="77777777" w:rsidR="00190E26" w:rsidRPr="00542557" w:rsidRDefault="00190E26" w:rsidP="004848F2">
      <w:pPr>
        <w:pStyle w:val="BodyText"/>
        <w:ind w:left="0"/>
        <w:jc w:val="both"/>
        <w:rPr>
          <w:rFonts w:asciiTheme="minorHAnsi" w:hAnsiTheme="minorHAnsi" w:cstheme="minorHAnsi"/>
          <w:b/>
          <w:bCs/>
          <w:color w:val="006DB7"/>
          <w:sz w:val="24"/>
          <w:szCs w:val="24"/>
        </w:rPr>
      </w:pPr>
      <w:bookmarkStart w:id="0" w:name="Hand_Hygiene_Template"/>
      <w:bookmarkStart w:id="1" w:name="Define_the_Infection_Prevention_and_Cont"/>
      <w:bookmarkStart w:id="2" w:name="Purpose_(provides_background_to_explain_"/>
      <w:bookmarkStart w:id="3" w:name="Responsibility_(defines_who_is_responsib"/>
      <w:bookmarkStart w:id="4" w:name="Policy_Content_Considerations"/>
      <w:bookmarkEnd w:id="0"/>
      <w:bookmarkEnd w:id="1"/>
      <w:bookmarkEnd w:id="2"/>
      <w:bookmarkEnd w:id="3"/>
      <w:bookmarkEnd w:id="4"/>
    </w:p>
    <w:p w14:paraId="644855A5" w14:textId="61F15C30" w:rsidR="008E79A5" w:rsidRPr="00542557" w:rsidRDefault="008E79A5" w:rsidP="004848F2">
      <w:pPr>
        <w:pStyle w:val="BodyText"/>
        <w:ind w:left="0"/>
        <w:jc w:val="both"/>
        <w:rPr>
          <w:rFonts w:asciiTheme="minorHAnsi" w:hAnsiTheme="minorHAnsi" w:cstheme="minorHAnsi"/>
          <w:color w:val="006DB7"/>
          <w:sz w:val="24"/>
          <w:szCs w:val="24"/>
        </w:rPr>
      </w:pPr>
      <w:r w:rsidRPr="00542557">
        <w:rPr>
          <w:rFonts w:asciiTheme="minorHAnsi" w:hAnsiTheme="minorHAnsi" w:cstheme="minorHAnsi"/>
          <w:b/>
          <w:bCs/>
          <w:color w:val="006DB7"/>
          <w:sz w:val="24"/>
          <w:szCs w:val="24"/>
        </w:rPr>
        <w:t>Definition and Overview (define the infection control practice</w:t>
      </w:r>
      <w:r w:rsidRPr="00542557">
        <w:rPr>
          <w:rFonts w:asciiTheme="minorHAnsi" w:hAnsiTheme="minorHAnsi" w:cstheme="minorHAnsi"/>
          <w:color w:val="006DB7"/>
          <w:sz w:val="24"/>
          <w:szCs w:val="24"/>
        </w:rPr>
        <w:t>)</w:t>
      </w:r>
    </w:p>
    <w:p w14:paraId="569A664C" w14:textId="3897A68E" w:rsidR="00DA0B9E" w:rsidRDefault="0033641D" w:rsidP="004848F2">
      <w:pPr>
        <w:pStyle w:val="pf0"/>
        <w:spacing w:before="0" w:beforeAutospacing="0" w:after="0" w:afterAutospacing="0"/>
        <w:jc w:val="both"/>
        <w:rPr>
          <w:rFonts w:asciiTheme="minorHAnsi" w:eastAsia="Arial" w:hAnsiTheme="minorHAnsi" w:cstheme="minorHAnsi"/>
        </w:rPr>
      </w:pPr>
      <w:r w:rsidRPr="0033641D">
        <w:rPr>
          <w:rFonts w:asciiTheme="minorHAnsi" w:eastAsia="Arial" w:hAnsiTheme="minorHAnsi" w:cstheme="minorHAnsi"/>
        </w:rPr>
        <w:t>Injection safety</w:t>
      </w:r>
      <w:r w:rsidR="00640A5D">
        <w:rPr>
          <w:rFonts w:asciiTheme="minorHAnsi" w:eastAsia="Arial" w:hAnsiTheme="minorHAnsi" w:cstheme="minorHAnsi"/>
        </w:rPr>
        <w:t>,</w:t>
      </w:r>
      <w:r w:rsidRPr="0033641D">
        <w:rPr>
          <w:rFonts w:asciiTheme="minorHAnsi" w:eastAsia="Arial" w:hAnsiTheme="minorHAnsi" w:cstheme="minorHAnsi"/>
        </w:rPr>
        <w:t xml:space="preserve"> or safe injection practices</w:t>
      </w:r>
      <w:r w:rsidR="00640A5D">
        <w:rPr>
          <w:rFonts w:asciiTheme="minorHAnsi" w:eastAsia="Arial" w:hAnsiTheme="minorHAnsi" w:cstheme="minorHAnsi"/>
        </w:rPr>
        <w:t>,</w:t>
      </w:r>
      <w:r w:rsidRPr="0033641D">
        <w:rPr>
          <w:rFonts w:asciiTheme="minorHAnsi" w:eastAsia="Arial" w:hAnsiTheme="minorHAnsi" w:cstheme="minorHAnsi"/>
        </w:rPr>
        <w:t xml:space="preserve"> </w:t>
      </w:r>
      <w:r w:rsidR="0095235D">
        <w:rPr>
          <w:rFonts w:asciiTheme="minorHAnsi" w:eastAsia="Arial" w:hAnsiTheme="minorHAnsi" w:cstheme="minorHAnsi"/>
        </w:rPr>
        <w:t>is</w:t>
      </w:r>
      <w:r w:rsidRPr="0033641D">
        <w:rPr>
          <w:rFonts w:asciiTheme="minorHAnsi" w:eastAsia="Arial" w:hAnsiTheme="minorHAnsi" w:cstheme="minorHAnsi"/>
        </w:rPr>
        <w:t xml:space="preserve"> a set of measures taken to perform injections in a manner that is optimally safe for participants, </w:t>
      </w:r>
      <w:r w:rsidRPr="007D4D3B">
        <w:rPr>
          <w:rFonts w:asciiTheme="minorHAnsi" w:eastAsia="Arial" w:hAnsiTheme="minorHAnsi" w:cstheme="minorHAnsi"/>
          <w:highlight w:val="yellow"/>
        </w:rPr>
        <w:t>center</w:t>
      </w:r>
      <w:r w:rsidRPr="0033641D">
        <w:rPr>
          <w:rFonts w:asciiTheme="minorHAnsi" w:eastAsia="Arial" w:hAnsiTheme="minorHAnsi" w:cstheme="minorHAnsi"/>
        </w:rPr>
        <w:t xml:space="preserve"> staff, and others. A safe injection is harmless to the participant, keeps the provider safe from avoidable risks, and prevents </w:t>
      </w:r>
      <w:r w:rsidR="00A43FA5">
        <w:rPr>
          <w:rFonts w:asciiTheme="minorHAnsi" w:eastAsia="Arial" w:hAnsiTheme="minorHAnsi" w:cstheme="minorHAnsi"/>
        </w:rPr>
        <w:t xml:space="preserve">dangerous </w:t>
      </w:r>
      <w:r w:rsidRPr="0033641D">
        <w:rPr>
          <w:rFonts w:asciiTheme="minorHAnsi" w:eastAsia="Arial" w:hAnsiTheme="minorHAnsi" w:cstheme="minorHAnsi"/>
        </w:rPr>
        <w:t>waste (e.g., through inappropriate disposal of injection equipment).</w:t>
      </w:r>
    </w:p>
    <w:p w14:paraId="3B3047F7" w14:textId="77777777" w:rsidR="0033641D" w:rsidRPr="00542557" w:rsidRDefault="0033641D" w:rsidP="004848F2">
      <w:pPr>
        <w:pStyle w:val="pf0"/>
        <w:spacing w:before="0" w:beforeAutospacing="0" w:after="0" w:afterAutospacing="0"/>
        <w:jc w:val="both"/>
        <w:rPr>
          <w:rFonts w:asciiTheme="minorHAnsi" w:hAnsiTheme="minorHAnsi" w:cstheme="minorHAnsi"/>
          <w:b/>
          <w:bCs/>
          <w:color w:val="006DB7"/>
        </w:rPr>
      </w:pPr>
    </w:p>
    <w:p w14:paraId="32CF0617" w14:textId="5E073C1F" w:rsidR="00AB6423" w:rsidRPr="00542557" w:rsidRDefault="00AB6423" w:rsidP="004848F2">
      <w:pPr>
        <w:pStyle w:val="pf0"/>
        <w:spacing w:before="0" w:beforeAutospacing="0" w:after="0" w:afterAutospacing="0"/>
        <w:jc w:val="both"/>
        <w:rPr>
          <w:rFonts w:asciiTheme="minorHAnsi" w:hAnsiTheme="minorHAnsi" w:cstheme="minorHAnsi"/>
          <w:b/>
          <w:bCs/>
          <w:color w:val="006DB7"/>
        </w:rPr>
      </w:pPr>
      <w:r w:rsidRPr="00542557">
        <w:rPr>
          <w:rFonts w:asciiTheme="minorHAnsi" w:hAnsiTheme="minorHAnsi" w:cstheme="minorHAnsi"/>
          <w:b/>
          <w:bCs/>
          <w:color w:val="006DB7"/>
        </w:rPr>
        <w:t>Purpose (why this policy/procedure is important)</w:t>
      </w:r>
    </w:p>
    <w:p w14:paraId="26A9DC9A" w14:textId="4CD0BA23" w:rsidR="00DA0B9E" w:rsidRDefault="000B2385" w:rsidP="004848F2">
      <w:pPr>
        <w:pStyle w:val="BodyText"/>
        <w:ind w:left="0"/>
        <w:jc w:val="both"/>
        <w:rPr>
          <w:rFonts w:asciiTheme="minorHAnsi" w:eastAsia="Times New Roman" w:hAnsiTheme="minorHAnsi" w:cstheme="minorHAnsi"/>
          <w:sz w:val="24"/>
          <w:szCs w:val="24"/>
        </w:rPr>
      </w:pPr>
      <w:r w:rsidRPr="000B2385">
        <w:rPr>
          <w:rFonts w:asciiTheme="minorHAnsi" w:eastAsia="Times New Roman" w:hAnsiTheme="minorHAnsi" w:cstheme="minorHAnsi"/>
          <w:sz w:val="24"/>
          <w:szCs w:val="24"/>
        </w:rPr>
        <w:t xml:space="preserve">The purpose of this policy is to provide staff with guidance on following safe injection practices. It is the </w:t>
      </w:r>
      <w:r w:rsidRPr="00A43FA5">
        <w:rPr>
          <w:rFonts w:asciiTheme="minorHAnsi" w:eastAsia="Times New Roman" w:hAnsiTheme="minorHAnsi" w:cstheme="minorHAnsi"/>
          <w:sz w:val="24"/>
          <w:szCs w:val="24"/>
          <w:highlight w:val="yellow"/>
        </w:rPr>
        <w:t>center’s</w:t>
      </w:r>
      <w:r w:rsidRPr="000B2385">
        <w:rPr>
          <w:rFonts w:asciiTheme="minorHAnsi" w:eastAsia="Times New Roman" w:hAnsiTheme="minorHAnsi" w:cstheme="minorHAnsi"/>
          <w:sz w:val="24"/>
          <w:szCs w:val="24"/>
        </w:rPr>
        <w:t xml:space="preserve"> duty to protect participants and staff by ensuring safe practices are followed when preparing and administering injectable medications.</w:t>
      </w:r>
    </w:p>
    <w:p w14:paraId="50D4AB9C" w14:textId="77777777" w:rsidR="000B2385" w:rsidRPr="00542557" w:rsidRDefault="000B2385" w:rsidP="004848F2">
      <w:pPr>
        <w:pStyle w:val="BodyText"/>
        <w:ind w:left="0"/>
        <w:jc w:val="both"/>
        <w:rPr>
          <w:rFonts w:asciiTheme="minorHAnsi" w:hAnsiTheme="minorHAnsi" w:cstheme="minorHAnsi"/>
          <w:b/>
          <w:bCs/>
          <w:color w:val="006DB7"/>
          <w:sz w:val="24"/>
          <w:szCs w:val="24"/>
        </w:rPr>
      </w:pPr>
    </w:p>
    <w:p w14:paraId="44961B15" w14:textId="7C53672B" w:rsidR="00AB6423" w:rsidRPr="00542557" w:rsidRDefault="00AB6423" w:rsidP="004848F2">
      <w:pPr>
        <w:pStyle w:val="BodyText"/>
        <w:ind w:left="0"/>
        <w:jc w:val="both"/>
        <w:rPr>
          <w:rFonts w:asciiTheme="minorHAnsi" w:hAnsiTheme="minorHAnsi" w:cstheme="minorHAnsi"/>
          <w:b/>
          <w:bCs/>
          <w:sz w:val="24"/>
          <w:szCs w:val="24"/>
        </w:rPr>
      </w:pPr>
      <w:r w:rsidRPr="00542557">
        <w:rPr>
          <w:rFonts w:asciiTheme="minorHAnsi" w:hAnsiTheme="minorHAnsi" w:cstheme="minorHAnsi"/>
          <w:b/>
          <w:bCs/>
          <w:color w:val="006DB7"/>
          <w:sz w:val="24"/>
          <w:szCs w:val="24"/>
        </w:rPr>
        <w:t>Responsibility (who is responsible for following this policy/procedure</w:t>
      </w:r>
      <w:r w:rsidRPr="00542557">
        <w:rPr>
          <w:rFonts w:asciiTheme="minorHAnsi" w:hAnsiTheme="minorHAnsi" w:cstheme="minorHAnsi"/>
          <w:b/>
          <w:bCs/>
          <w:sz w:val="24"/>
          <w:szCs w:val="24"/>
        </w:rPr>
        <w:t>)</w:t>
      </w:r>
    </w:p>
    <w:p w14:paraId="1BED9373" w14:textId="1C0FEC48" w:rsidR="00ED52C0" w:rsidRDefault="00842F82" w:rsidP="004848F2">
      <w:pPr>
        <w:jc w:val="both"/>
        <w:rPr>
          <w:rFonts w:asciiTheme="minorHAnsi" w:hAnsiTheme="minorHAnsi" w:cstheme="minorHAnsi"/>
          <w:sz w:val="24"/>
          <w:szCs w:val="24"/>
        </w:rPr>
      </w:pPr>
      <w:r w:rsidRPr="00842F82">
        <w:rPr>
          <w:rFonts w:asciiTheme="minorHAnsi" w:hAnsiTheme="minorHAnsi" w:cstheme="minorHAnsi"/>
          <w:sz w:val="24"/>
          <w:szCs w:val="24"/>
        </w:rPr>
        <w:t xml:space="preserve">For the purpose of this policy, “staff” refers to those in the </w:t>
      </w:r>
      <w:r w:rsidRPr="00980507">
        <w:rPr>
          <w:rFonts w:asciiTheme="minorHAnsi" w:hAnsiTheme="minorHAnsi" w:cstheme="minorHAnsi"/>
          <w:sz w:val="24"/>
          <w:szCs w:val="24"/>
          <w:highlight w:val="yellow"/>
        </w:rPr>
        <w:t>center</w:t>
      </w:r>
      <w:r w:rsidRPr="00842F82">
        <w:rPr>
          <w:rFonts w:asciiTheme="minorHAnsi" w:hAnsiTheme="minorHAnsi" w:cstheme="minorHAnsi"/>
          <w:sz w:val="24"/>
          <w:szCs w:val="24"/>
        </w:rPr>
        <w:t xml:space="preserve"> who </w:t>
      </w:r>
      <w:r w:rsidR="005415B2">
        <w:rPr>
          <w:rFonts w:asciiTheme="minorHAnsi" w:hAnsiTheme="minorHAnsi" w:cstheme="minorHAnsi"/>
          <w:sz w:val="24"/>
          <w:szCs w:val="24"/>
        </w:rPr>
        <w:t>hold credentials</w:t>
      </w:r>
      <w:r w:rsidRPr="00842F82">
        <w:rPr>
          <w:rFonts w:asciiTheme="minorHAnsi" w:hAnsiTheme="minorHAnsi" w:cstheme="minorHAnsi"/>
          <w:sz w:val="24"/>
          <w:szCs w:val="24"/>
        </w:rPr>
        <w:t xml:space="preserve"> to prepare and administer injectable medications.</w:t>
      </w:r>
    </w:p>
    <w:p w14:paraId="5479C561" w14:textId="77777777" w:rsidR="00842F82" w:rsidRDefault="00842F82" w:rsidP="004848F2">
      <w:pPr>
        <w:jc w:val="both"/>
        <w:rPr>
          <w:rFonts w:asciiTheme="minorHAnsi" w:hAnsiTheme="minorHAnsi" w:cstheme="minorHAnsi"/>
          <w:sz w:val="24"/>
          <w:szCs w:val="24"/>
        </w:rPr>
      </w:pPr>
    </w:p>
    <w:p w14:paraId="3D1CEE45" w14:textId="6282B434" w:rsidR="00842F82" w:rsidRPr="004F46C2" w:rsidRDefault="00842F82" w:rsidP="004848F2">
      <w:pPr>
        <w:jc w:val="both"/>
        <w:rPr>
          <w:rFonts w:asciiTheme="minorHAnsi" w:hAnsiTheme="minorHAnsi" w:cstheme="minorHAnsi"/>
          <w:b/>
          <w:bCs/>
          <w:color w:val="006DB7"/>
          <w:sz w:val="24"/>
          <w:szCs w:val="24"/>
        </w:rPr>
      </w:pPr>
      <w:r w:rsidRPr="004F46C2">
        <w:rPr>
          <w:rFonts w:asciiTheme="minorHAnsi" w:hAnsiTheme="minorHAnsi" w:cstheme="minorHAnsi"/>
          <w:b/>
          <w:bCs/>
          <w:color w:val="006DB7"/>
          <w:sz w:val="24"/>
          <w:szCs w:val="24"/>
        </w:rPr>
        <w:t>Policy Content Considerations</w:t>
      </w:r>
    </w:p>
    <w:p w14:paraId="10723B87" w14:textId="38D097D1" w:rsidR="00773CCA" w:rsidRPr="00773CCA" w:rsidRDefault="00773CCA" w:rsidP="00773CCA">
      <w:pPr>
        <w:pStyle w:val="ListParagraph"/>
        <w:numPr>
          <w:ilvl w:val="0"/>
          <w:numId w:val="16"/>
        </w:numPr>
        <w:jc w:val="both"/>
        <w:rPr>
          <w:rFonts w:asciiTheme="minorHAnsi" w:hAnsiTheme="minorHAnsi" w:cstheme="minorHAnsi"/>
          <w:sz w:val="24"/>
          <w:szCs w:val="24"/>
        </w:rPr>
      </w:pPr>
      <w:r w:rsidRPr="00773CCA">
        <w:rPr>
          <w:rFonts w:asciiTheme="minorHAnsi" w:hAnsiTheme="minorHAnsi" w:cstheme="minorHAnsi"/>
          <w:sz w:val="24"/>
          <w:szCs w:val="24"/>
        </w:rPr>
        <w:t xml:space="preserve">Guidance </w:t>
      </w:r>
      <w:r w:rsidR="00EC4BDE">
        <w:rPr>
          <w:rFonts w:asciiTheme="minorHAnsi" w:hAnsiTheme="minorHAnsi" w:cstheme="minorHAnsi"/>
          <w:sz w:val="24"/>
          <w:szCs w:val="24"/>
        </w:rPr>
        <w:t>to</w:t>
      </w:r>
      <w:r w:rsidRPr="00773CCA">
        <w:rPr>
          <w:rFonts w:asciiTheme="minorHAnsi" w:hAnsiTheme="minorHAnsi" w:cstheme="minorHAnsi"/>
          <w:sz w:val="24"/>
          <w:szCs w:val="24"/>
        </w:rPr>
        <w:t xml:space="preserve"> where medication preparation may occur</w:t>
      </w:r>
      <w:r w:rsidR="00DB44F8">
        <w:rPr>
          <w:rFonts w:asciiTheme="minorHAnsi" w:hAnsiTheme="minorHAnsi" w:cstheme="minorHAnsi"/>
          <w:sz w:val="24"/>
          <w:szCs w:val="24"/>
        </w:rPr>
        <w:t>,</w:t>
      </w:r>
      <w:r w:rsidRPr="00773CCA">
        <w:rPr>
          <w:rFonts w:asciiTheme="minorHAnsi" w:hAnsiTheme="minorHAnsi" w:cstheme="minorHAnsi"/>
          <w:sz w:val="24"/>
          <w:szCs w:val="24"/>
        </w:rPr>
        <w:t xml:space="preserve"> including use of a private space to administer medications to participants. </w:t>
      </w:r>
    </w:p>
    <w:p w14:paraId="09625F52" w14:textId="108B291C" w:rsidR="00773CCA" w:rsidRPr="00773CCA" w:rsidRDefault="00773CCA" w:rsidP="00773CCA">
      <w:pPr>
        <w:pStyle w:val="ListParagraph"/>
        <w:numPr>
          <w:ilvl w:val="0"/>
          <w:numId w:val="16"/>
        </w:numPr>
        <w:jc w:val="both"/>
        <w:rPr>
          <w:rFonts w:asciiTheme="minorHAnsi" w:hAnsiTheme="minorHAnsi" w:cstheme="minorHAnsi"/>
          <w:sz w:val="24"/>
          <w:szCs w:val="24"/>
        </w:rPr>
      </w:pPr>
      <w:r w:rsidRPr="00773CCA">
        <w:rPr>
          <w:rFonts w:asciiTheme="minorHAnsi" w:hAnsiTheme="minorHAnsi" w:cstheme="minorHAnsi"/>
          <w:sz w:val="24"/>
          <w:szCs w:val="24"/>
        </w:rPr>
        <w:t>Maintain adequate supplies in all designated medication preparation areas, including who is responsible and appropriate practices (e.g., frequency of checking supply levels).</w:t>
      </w:r>
    </w:p>
    <w:p w14:paraId="1DEF85E3" w14:textId="7F6FE3CA" w:rsidR="00773CCA" w:rsidRPr="00773CCA" w:rsidRDefault="00773CCA" w:rsidP="00773CCA">
      <w:pPr>
        <w:pStyle w:val="ListParagraph"/>
        <w:numPr>
          <w:ilvl w:val="0"/>
          <w:numId w:val="16"/>
        </w:numPr>
        <w:jc w:val="both"/>
        <w:rPr>
          <w:rFonts w:asciiTheme="minorHAnsi" w:hAnsiTheme="minorHAnsi" w:cstheme="minorHAnsi"/>
          <w:sz w:val="24"/>
          <w:szCs w:val="24"/>
        </w:rPr>
      </w:pPr>
      <w:r w:rsidRPr="00773CCA">
        <w:rPr>
          <w:rFonts w:asciiTheme="minorHAnsi" w:hAnsiTheme="minorHAnsi" w:cstheme="minorHAnsi"/>
          <w:sz w:val="24"/>
          <w:szCs w:val="24"/>
        </w:rPr>
        <w:t xml:space="preserve">Guidance about proper response if unsafe injection practices are identified. If a center has a policy that references Blood Borne Pathogens protocols as they relate to infection control and/or employee health, reference the location of those protocols in your </w:t>
      </w:r>
      <w:r w:rsidRPr="00BE6B74">
        <w:rPr>
          <w:rFonts w:asciiTheme="minorHAnsi" w:hAnsiTheme="minorHAnsi" w:cstheme="minorHAnsi"/>
          <w:sz w:val="24"/>
          <w:szCs w:val="24"/>
          <w:highlight w:val="yellow"/>
        </w:rPr>
        <w:t>center’s</w:t>
      </w:r>
      <w:r w:rsidRPr="00773CCA">
        <w:rPr>
          <w:rFonts w:asciiTheme="minorHAnsi" w:hAnsiTheme="minorHAnsi" w:cstheme="minorHAnsi"/>
          <w:sz w:val="24"/>
          <w:szCs w:val="24"/>
        </w:rPr>
        <w:t xml:space="preserve"> policy. </w:t>
      </w:r>
    </w:p>
    <w:p w14:paraId="50EFB22B" w14:textId="77777777" w:rsidR="00773CCA" w:rsidRDefault="00773CCA" w:rsidP="00773CCA">
      <w:pPr>
        <w:jc w:val="both"/>
        <w:rPr>
          <w:rFonts w:asciiTheme="minorHAnsi" w:hAnsiTheme="minorHAnsi" w:cstheme="minorHAnsi"/>
          <w:sz w:val="24"/>
          <w:szCs w:val="24"/>
        </w:rPr>
      </w:pPr>
    </w:p>
    <w:p w14:paraId="2A5AA7DE" w14:textId="37D7128E" w:rsidR="00842F82" w:rsidRPr="004F46C2" w:rsidRDefault="00773CCA" w:rsidP="00773CCA">
      <w:pPr>
        <w:jc w:val="both"/>
        <w:rPr>
          <w:rFonts w:asciiTheme="minorHAnsi" w:hAnsiTheme="minorHAnsi" w:cstheme="minorHAnsi"/>
          <w:i/>
          <w:iCs/>
          <w:sz w:val="24"/>
          <w:szCs w:val="24"/>
        </w:rPr>
      </w:pPr>
      <w:r w:rsidRPr="004F46C2">
        <w:rPr>
          <w:rFonts w:asciiTheme="minorHAnsi" w:hAnsiTheme="minorHAnsi" w:cstheme="minorHAnsi"/>
          <w:i/>
          <w:iCs/>
          <w:sz w:val="24"/>
          <w:szCs w:val="24"/>
        </w:rPr>
        <w:t>Note: Other policies and procedures should reinforce safe injection practices. For example, your policies and procedures addressing pharmacy considerations may incorporate guidance about purchasing appropriately sized vials to limit the sharing of multi-dose vials between participants.</w:t>
      </w:r>
    </w:p>
    <w:p w14:paraId="5E6F95ED" w14:textId="77777777" w:rsidR="00773CCA" w:rsidRDefault="00773CCA" w:rsidP="00773CCA">
      <w:pPr>
        <w:jc w:val="both"/>
        <w:rPr>
          <w:rFonts w:asciiTheme="minorHAnsi" w:hAnsiTheme="minorHAnsi" w:cstheme="minorHAnsi"/>
          <w:sz w:val="24"/>
          <w:szCs w:val="24"/>
        </w:rPr>
      </w:pPr>
    </w:p>
    <w:p w14:paraId="5EC84558" w14:textId="03807E4A" w:rsidR="00773CCA" w:rsidRPr="004F46C2" w:rsidRDefault="0017124D" w:rsidP="00773CCA">
      <w:pPr>
        <w:jc w:val="both"/>
        <w:rPr>
          <w:rFonts w:asciiTheme="minorHAnsi" w:hAnsiTheme="minorHAnsi" w:cstheme="minorHAnsi"/>
          <w:b/>
          <w:bCs/>
          <w:color w:val="006DB7"/>
          <w:sz w:val="24"/>
          <w:szCs w:val="24"/>
        </w:rPr>
      </w:pPr>
      <w:r w:rsidRPr="004F46C2">
        <w:rPr>
          <w:rFonts w:asciiTheme="minorHAnsi" w:hAnsiTheme="minorHAnsi" w:cstheme="minorHAnsi"/>
          <w:b/>
          <w:bCs/>
          <w:color w:val="006DB7"/>
          <w:sz w:val="24"/>
          <w:szCs w:val="24"/>
        </w:rPr>
        <w:t>Procedure Content Considerations (outlines the steps/supplies for performing the practice)</w:t>
      </w:r>
    </w:p>
    <w:p w14:paraId="16B986A2" w14:textId="39AA1EA5" w:rsidR="000605A9" w:rsidRPr="000605A9" w:rsidRDefault="000605A9" w:rsidP="000605A9">
      <w:pPr>
        <w:jc w:val="both"/>
        <w:rPr>
          <w:rFonts w:asciiTheme="minorHAnsi" w:hAnsiTheme="minorHAnsi" w:cstheme="minorHAnsi"/>
          <w:sz w:val="24"/>
          <w:szCs w:val="24"/>
        </w:rPr>
      </w:pPr>
      <w:r w:rsidRPr="000605A9">
        <w:rPr>
          <w:rFonts w:asciiTheme="minorHAnsi" w:hAnsiTheme="minorHAnsi" w:cstheme="minorHAnsi"/>
          <w:sz w:val="24"/>
          <w:szCs w:val="24"/>
        </w:rPr>
        <w:t>Examples of safe injection and sharps safety practices, to minimize potential exposure to pathogens</w:t>
      </w:r>
      <w:r w:rsidR="00B81070">
        <w:rPr>
          <w:rFonts w:asciiTheme="minorHAnsi" w:hAnsiTheme="minorHAnsi" w:cstheme="minorHAnsi"/>
          <w:sz w:val="24"/>
          <w:szCs w:val="24"/>
        </w:rPr>
        <w:t>,</w:t>
      </w:r>
      <w:r w:rsidRPr="000605A9">
        <w:rPr>
          <w:rFonts w:asciiTheme="minorHAnsi" w:hAnsiTheme="minorHAnsi" w:cstheme="minorHAnsi"/>
          <w:sz w:val="24"/>
          <w:szCs w:val="24"/>
        </w:rPr>
        <w:t xml:space="preserve"> should include: </w:t>
      </w:r>
    </w:p>
    <w:p w14:paraId="666EB5BD" w14:textId="18BBE6ED" w:rsidR="000605A9" w:rsidRPr="000605A9" w:rsidRDefault="000605A9" w:rsidP="000605A9">
      <w:pPr>
        <w:pStyle w:val="ListParagraph"/>
        <w:numPr>
          <w:ilvl w:val="0"/>
          <w:numId w:val="17"/>
        </w:numPr>
        <w:jc w:val="both"/>
        <w:rPr>
          <w:rFonts w:asciiTheme="minorHAnsi" w:hAnsiTheme="minorHAnsi" w:cstheme="minorHAnsi"/>
          <w:sz w:val="24"/>
          <w:szCs w:val="24"/>
        </w:rPr>
      </w:pPr>
      <w:r w:rsidRPr="000605A9">
        <w:rPr>
          <w:rFonts w:asciiTheme="minorHAnsi" w:hAnsiTheme="minorHAnsi" w:cstheme="minorHAnsi"/>
          <w:sz w:val="24"/>
          <w:szCs w:val="24"/>
        </w:rPr>
        <w:t>Preparation of injectable medications in designated clean area(s).</w:t>
      </w:r>
    </w:p>
    <w:p w14:paraId="403EF90A" w14:textId="6542A640" w:rsidR="000605A9" w:rsidRPr="000605A9" w:rsidRDefault="000605A9" w:rsidP="000605A9">
      <w:pPr>
        <w:pStyle w:val="ListParagraph"/>
        <w:numPr>
          <w:ilvl w:val="0"/>
          <w:numId w:val="17"/>
        </w:numPr>
        <w:jc w:val="both"/>
        <w:rPr>
          <w:rFonts w:asciiTheme="minorHAnsi" w:hAnsiTheme="minorHAnsi" w:cstheme="minorHAnsi"/>
          <w:sz w:val="24"/>
          <w:szCs w:val="24"/>
        </w:rPr>
      </w:pPr>
      <w:r w:rsidRPr="000605A9">
        <w:rPr>
          <w:rFonts w:asciiTheme="minorHAnsi" w:hAnsiTheme="minorHAnsi" w:cstheme="minorHAnsi"/>
          <w:sz w:val="24"/>
          <w:szCs w:val="24"/>
        </w:rPr>
        <w:t>Adherence to aseptic (clean) technique. Aseptic technique refers to the manner of handling, preparing, and storing medications and injection equipment/supplies (e.g., syringes, needles) to prevent microbial contamination and infection.</w:t>
      </w:r>
    </w:p>
    <w:p w14:paraId="4AE4C541" w14:textId="58389782" w:rsidR="000605A9" w:rsidRPr="000605A9" w:rsidRDefault="000605A9" w:rsidP="000605A9">
      <w:pPr>
        <w:pStyle w:val="ListParagraph"/>
        <w:numPr>
          <w:ilvl w:val="0"/>
          <w:numId w:val="17"/>
        </w:numPr>
        <w:jc w:val="both"/>
        <w:rPr>
          <w:rFonts w:asciiTheme="minorHAnsi" w:hAnsiTheme="minorHAnsi" w:cstheme="minorHAnsi"/>
          <w:sz w:val="24"/>
          <w:szCs w:val="24"/>
        </w:rPr>
      </w:pPr>
      <w:r w:rsidRPr="000605A9">
        <w:rPr>
          <w:rFonts w:asciiTheme="minorHAnsi" w:hAnsiTheme="minorHAnsi" w:cstheme="minorHAnsi"/>
          <w:sz w:val="24"/>
          <w:szCs w:val="24"/>
        </w:rPr>
        <w:lastRenderedPageBreak/>
        <w:t xml:space="preserve">Proper storage and use of insulin pens and other similar devices. </w:t>
      </w:r>
    </w:p>
    <w:p w14:paraId="52044306" w14:textId="404652F7" w:rsidR="000605A9" w:rsidRPr="000605A9" w:rsidRDefault="000605A9" w:rsidP="000605A9">
      <w:pPr>
        <w:pStyle w:val="ListParagraph"/>
        <w:numPr>
          <w:ilvl w:val="0"/>
          <w:numId w:val="17"/>
        </w:numPr>
        <w:jc w:val="both"/>
        <w:rPr>
          <w:rFonts w:asciiTheme="minorHAnsi" w:hAnsiTheme="minorHAnsi" w:cstheme="minorHAnsi"/>
          <w:sz w:val="24"/>
          <w:szCs w:val="24"/>
        </w:rPr>
      </w:pPr>
      <w:r w:rsidRPr="000605A9">
        <w:rPr>
          <w:rFonts w:asciiTheme="minorHAnsi" w:hAnsiTheme="minorHAnsi" w:cstheme="minorHAnsi"/>
          <w:sz w:val="24"/>
          <w:szCs w:val="24"/>
        </w:rPr>
        <w:t xml:space="preserve">Proper disposal of used injection equipment (e.g., syringes, needles) in </w:t>
      </w:r>
      <w:r w:rsidR="002A5421">
        <w:rPr>
          <w:rFonts w:asciiTheme="minorHAnsi" w:hAnsiTheme="minorHAnsi" w:cstheme="minorHAnsi"/>
          <w:sz w:val="24"/>
          <w:szCs w:val="24"/>
        </w:rPr>
        <w:t xml:space="preserve">readily accessible </w:t>
      </w:r>
      <w:r w:rsidRPr="000605A9">
        <w:rPr>
          <w:rFonts w:asciiTheme="minorHAnsi" w:hAnsiTheme="minorHAnsi" w:cstheme="minorHAnsi"/>
          <w:sz w:val="24"/>
          <w:szCs w:val="24"/>
        </w:rPr>
        <w:t>sharps containers.</w:t>
      </w:r>
    </w:p>
    <w:p w14:paraId="088C142D" w14:textId="3906FB53" w:rsidR="000605A9" w:rsidRPr="000605A9" w:rsidRDefault="000605A9" w:rsidP="000605A9">
      <w:pPr>
        <w:pStyle w:val="ListParagraph"/>
        <w:numPr>
          <w:ilvl w:val="0"/>
          <w:numId w:val="17"/>
        </w:numPr>
        <w:jc w:val="both"/>
        <w:rPr>
          <w:rFonts w:asciiTheme="minorHAnsi" w:hAnsiTheme="minorHAnsi" w:cstheme="minorHAnsi"/>
          <w:sz w:val="24"/>
          <w:szCs w:val="24"/>
        </w:rPr>
      </w:pPr>
      <w:r w:rsidRPr="000605A9">
        <w:rPr>
          <w:rFonts w:asciiTheme="minorHAnsi" w:hAnsiTheme="minorHAnsi" w:cstheme="minorHAnsi"/>
          <w:sz w:val="24"/>
          <w:szCs w:val="24"/>
        </w:rPr>
        <w:t>Proper identification and handling of medication containers.</w:t>
      </w:r>
    </w:p>
    <w:p w14:paraId="00EEB168" w14:textId="46534DA2" w:rsidR="000605A9" w:rsidRPr="000605A9" w:rsidRDefault="000605A9" w:rsidP="000605A9">
      <w:pPr>
        <w:pStyle w:val="ListParagraph"/>
        <w:numPr>
          <w:ilvl w:val="1"/>
          <w:numId w:val="17"/>
        </w:numPr>
        <w:jc w:val="both"/>
        <w:rPr>
          <w:rFonts w:asciiTheme="minorHAnsi" w:hAnsiTheme="minorHAnsi" w:cstheme="minorHAnsi"/>
          <w:sz w:val="24"/>
          <w:szCs w:val="24"/>
        </w:rPr>
      </w:pPr>
      <w:r w:rsidRPr="000605A9">
        <w:rPr>
          <w:rFonts w:asciiTheme="minorHAnsi" w:hAnsiTheme="minorHAnsi" w:cstheme="minorHAnsi"/>
          <w:sz w:val="24"/>
          <w:szCs w:val="24"/>
        </w:rPr>
        <w:t xml:space="preserve">Single-dose and single-use containers </w:t>
      </w:r>
    </w:p>
    <w:p w14:paraId="601898F4" w14:textId="498F13B7" w:rsidR="000605A9" w:rsidRPr="000605A9" w:rsidRDefault="000605A9" w:rsidP="000605A9">
      <w:pPr>
        <w:pStyle w:val="ListParagraph"/>
        <w:numPr>
          <w:ilvl w:val="1"/>
          <w:numId w:val="17"/>
        </w:numPr>
        <w:jc w:val="both"/>
        <w:rPr>
          <w:rFonts w:asciiTheme="minorHAnsi" w:hAnsiTheme="minorHAnsi" w:cstheme="minorHAnsi"/>
          <w:sz w:val="24"/>
          <w:szCs w:val="24"/>
        </w:rPr>
      </w:pPr>
      <w:r w:rsidRPr="000605A9">
        <w:rPr>
          <w:rFonts w:asciiTheme="minorHAnsi" w:hAnsiTheme="minorHAnsi" w:cstheme="minorHAnsi"/>
          <w:sz w:val="24"/>
          <w:szCs w:val="24"/>
        </w:rPr>
        <w:t>Multi-dose vials</w:t>
      </w:r>
    </w:p>
    <w:p w14:paraId="1BA0B435" w14:textId="42244078" w:rsidR="0017124D" w:rsidRDefault="000605A9" w:rsidP="000605A9">
      <w:pPr>
        <w:pStyle w:val="ListParagraph"/>
        <w:numPr>
          <w:ilvl w:val="0"/>
          <w:numId w:val="17"/>
        </w:numPr>
        <w:jc w:val="both"/>
        <w:rPr>
          <w:rFonts w:asciiTheme="minorHAnsi" w:hAnsiTheme="minorHAnsi" w:cstheme="minorHAnsi"/>
          <w:sz w:val="24"/>
          <w:szCs w:val="24"/>
        </w:rPr>
      </w:pPr>
      <w:r w:rsidRPr="000605A9">
        <w:rPr>
          <w:rFonts w:asciiTheme="minorHAnsi" w:hAnsiTheme="minorHAnsi" w:cstheme="minorHAnsi"/>
          <w:sz w:val="24"/>
          <w:szCs w:val="24"/>
        </w:rPr>
        <w:t>Proper storage of medications in accordance with the manufacturer’s recommendations (e.g., temperature requirements, expiration date, beyond-use date).</w:t>
      </w:r>
    </w:p>
    <w:p w14:paraId="6E010401" w14:textId="77777777" w:rsidR="00A60905" w:rsidRDefault="00A60905" w:rsidP="00A60905">
      <w:pPr>
        <w:jc w:val="both"/>
        <w:rPr>
          <w:rFonts w:asciiTheme="minorHAnsi" w:hAnsiTheme="minorHAnsi" w:cstheme="minorHAnsi"/>
          <w:sz w:val="24"/>
          <w:szCs w:val="24"/>
        </w:rPr>
      </w:pPr>
    </w:p>
    <w:p w14:paraId="38959B7F" w14:textId="27C0B62F" w:rsidR="00A60905" w:rsidRPr="004F46C2" w:rsidRDefault="00A60905" w:rsidP="00A60905">
      <w:pPr>
        <w:jc w:val="both"/>
        <w:rPr>
          <w:rFonts w:asciiTheme="minorHAnsi" w:hAnsiTheme="minorHAnsi" w:cstheme="minorHAnsi"/>
          <w:b/>
          <w:bCs/>
          <w:color w:val="006DB7"/>
          <w:sz w:val="24"/>
          <w:szCs w:val="24"/>
        </w:rPr>
      </w:pPr>
      <w:r w:rsidRPr="004F46C2">
        <w:rPr>
          <w:rFonts w:asciiTheme="minorHAnsi" w:hAnsiTheme="minorHAnsi" w:cstheme="minorHAnsi"/>
          <w:b/>
          <w:bCs/>
          <w:color w:val="006DB7"/>
          <w:sz w:val="24"/>
          <w:szCs w:val="24"/>
        </w:rPr>
        <w:t>Policy</w:t>
      </w:r>
    </w:p>
    <w:p w14:paraId="26CA17EA" w14:textId="46B7D575" w:rsidR="00A60905" w:rsidRPr="00A60905" w:rsidRDefault="004F46C2" w:rsidP="00A60905">
      <w:pPr>
        <w:jc w:val="both"/>
        <w:rPr>
          <w:rFonts w:asciiTheme="minorHAnsi" w:hAnsiTheme="minorHAnsi" w:cstheme="minorHAnsi"/>
          <w:sz w:val="24"/>
          <w:szCs w:val="24"/>
        </w:rPr>
      </w:pPr>
      <w:r w:rsidRPr="004F46C2">
        <w:rPr>
          <w:rFonts w:asciiTheme="minorHAnsi" w:hAnsiTheme="minorHAnsi" w:cstheme="minorHAnsi"/>
          <w:sz w:val="24"/>
          <w:szCs w:val="24"/>
        </w:rPr>
        <w:t xml:space="preserve">It is the policy of </w:t>
      </w:r>
      <w:r w:rsidRPr="00267168">
        <w:rPr>
          <w:rFonts w:asciiTheme="minorHAnsi" w:hAnsiTheme="minorHAnsi" w:cstheme="minorHAnsi"/>
          <w:sz w:val="24"/>
          <w:szCs w:val="24"/>
          <w:highlight w:val="yellow"/>
        </w:rPr>
        <w:t>this center</w:t>
      </w:r>
      <w:r w:rsidRPr="004F46C2">
        <w:rPr>
          <w:rFonts w:asciiTheme="minorHAnsi" w:hAnsiTheme="minorHAnsi" w:cstheme="minorHAnsi"/>
          <w:sz w:val="24"/>
          <w:szCs w:val="24"/>
        </w:rPr>
        <w:t xml:space="preserve"> to adhere to evidence-based protocols and practices for injection safety</w:t>
      </w:r>
      <w:r w:rsidR="00692C22">
        <w:rPr>
          <w:rFonts w:asciiTheme="minorHAnsi" w:hAnsiTheme="minorHAnsi" w:cstheme="minorHAnsi"/>
          <w:sz w:val="24"/>
          <w:szCs w:val="24"/>
        </w:rPr>
        <w:t>,</w:t>
      </w:r>
      <w:r w:rsidRPr="004F46C2">
        <w:rPr>
          <w:rFonts w:asciiTheme="minorHAnsi" w:hAnsiTheme="minorHAnsi" w:cstheme="minorHAnsi"/>
          <w:sz w:val="24"/>
          <w:szCs w:val="24"/>
        </w:rPr>
        <w:t xml:space="preserve"> both to reduce the risk of transmitting infectious diseases and to ensure the safety of the participant receiving the medication and the staff administering the injection.</w:t>
      </w:r>
    </w:p>
    <w:p w14:paraId="492CB4BE" w14:textId="77777777" w:rsidR="00842F82" w:rsidRDefault="00842F82" w:rsidP="004848F2">
      <w:pPr>
        <w:jc w:val="both"/>
        <w:rPr>
          <w:rFonts w:asciiTheme="minorHAnsi" w:hAnsiTheme="minorHAnsi" w:cstheme="minorHAnsi"/>
          <w:sz w:val="24"/>
          <w:szCs w:val="24"/>
        </w:rPr>
      </w:pPr>
    </w:p>
    <w:p w14:paraId="69D42114" w14:textId="05189A8C" w:rsidR="00246B1F" w:rsidRPr="00542557" w:rsidRDefault="0079101C" w:rsidP="004848F2">
      <w:pPr>
        <w:jc w:val="both"/>
        <w:rPr>
          <w:rFonts w:asciiTheme="minorHAnsi" w:hAnsiTheme="minorHAnsi" w:cstheme="minorHAnsi"/>
          <w:b/>
          <w:color w:val="006DB7"/>
          <w:sz w:val="24"/>
          <w:szCs w:val="24"/>
        </w:rPr>
      </w:pPr>
      <w:r w:rsidRPr="00542557">
        <w:rPr>
          <w:rFonts w:asciiTheme="minorHAnsi" w:hAnsiTheme="minorHAnsi" w:cstheme="minorHAnsi"/>
          <w:b/>
          <w:color w:val="006DB7"/>
          <w:sz w:val="24"/>
          <w:szCs w:val="24"/>
        </w:rPr>
        <w:t>Procedure</w:t>
      </w:r>
    </w:p>
    <w:p w14:paraId="7D029CC4" w14:textId="07F1E061" w:rsidR="00437034" w:rsidRPr="00C8746C" w:rsidRDefault="00437034" w:rsidP="00C8746C">
      <w:pPr>
        <w:jc w:val="both"/>
        <w:rPr>
          <w:rFonts w:asciiTheme="minorHAnsi" w:hAnsiTheme="minorHAnsi" w:cstheme="minorHAnsi"/>
          <w:bCs/>
          <w:sz w:val="24"/>
          <w:szCs w:val="24"/>
        </w:rPr>
      </w:pPr>
      <w:r w:rsidRPr="00C8746C">
        <w:rPr>
          <w:rFonts w:asciiTheme="minorHAnsi" w:hAnsiTheme="minorHAnsi" w:cstheme="minorHAnsi"/>
          <w:bCs/>
          <w:sz w:val="24"/>
          <w:szCs w:val="24"/>
        </w:rPr>
        <w:t xml:space="preserve">Medication preparation should occur in a private area to protect the participant’s dignity. Medication is verified with the manufacturing date </w:t>
      </w:r>
      <w:r w:rsidR="000D454D">
        <w:rPr>
          <w:rFonts w:asciiTheme="minorHAnsi" w:hAnsiTheme="minorHAnsi" w:cstheme="minorHAnsi"/>
          <w:bCs/>
          <w:sz w:val="24"/>
          <w:szCs w:val="24"/>
        </w:rPr>
        <w:t>to ensure it</w:t>
      </w:r>
      <w:r w:rsidRPr="00C8746C">
        <w:rPr>
          <w:rFonts w:asciiTheme="minorHAnsi" w:hAnsiTheme="minorHAnsi" w:cstheme="minorHAnsi"/>
          <w:bCs/>
          <w:sz w:val="24"/>
          <w:szCs w:val="24"/>
        </w:rPr>
        <w:t xml:space="preserve"> is within the use date (not expired). Insulin pens and Epi Pens should be pulled from their appropriate storage space, prepared, and administered to the participant.</w:t>
      </w:r>
    </w:p>
    <w:p w14:paraId="13C30D92" w14:textId="77777777" w:rsidR="00C8746C" w:rsidRDefault="00C8746C" w:rsidP="00C8746C">
      <w:pPr>
        <w:rPr>
          <w:rFonts w:asciiTheme="minorHAnsi" w:hAnsiTheme="minorHAnsi" w:cstheme="minorHAnsi"/>
          <w:bCs/>
          <w:sz w:val="24"/>
          <w:szCs w:val="24"/>
          <w:u w:val="single"/>
        </w:rPr>
      </w:pPr>
    </w:p>
    <w:p w14:paraId="63072865" w14:textId="3140888B" w:rsidR="00740E3D" w:rsidRPr="00C8746C" w:rsidRDefault="00740E3D" w:rsidP="00C8746C">
      <w:pPr>
        <w:rPr>
          <w:rFonts w:asciiTheme="minorHAnsi" w:hAnsiTheme="minorHAnsi" w:cstheme="minorHAnsi"/>
          <w:bCs/>
          <w:sz w:val="24"/>
          <w:szCs w:val="24"/>
          <w:u w:val="single"/>
        </w:rPr>
      </w:pPr>
      <w:r w:rsidRPr="00C8746C">
        <w:rPr>
          <w:rFonts w:asciiTheme="minorHAnsi" w:hAnsiTheme="minorHAnsi" w:cstheme="minorHAnsi"/>
          <w:bCs/>
          <w:sz w:val="24"/>
          <w:szCs w:val="24"/>
          <w:u w:val="single"/>
        </w:rPr>
        <w:t xml:space="preserve">Follow Safe Injection Practices and Follow Aseptic Technique </w:t>
      </w:r>
    </w:p>
    <w:p w14:paraId="0444A430" w14:textId="77777777"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Prepare medications in a clean designated area.</w:t>
      </w:r>
    </w:p>
    <w:p w14:paraId="585B7265" w14:textId="77777777"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Perform proper hand hygiene, using alcohol-based hand sanitizer or soap and water, prior to preparing and administering medications. Don gloves.</w:t>
      </w:r>
    </w:p>
    <w:p w14:paraId="474065EE" w14:textId="77777777"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Disinfect the workspace using alcohol gel or spray (if a workspace is utilized).</w:t>
      </w:r>
    </w:p>
    <w:p w14:paraId="0C93421E" w14:textId="77777777"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Perform proper hand hygiene and don new gloves.</w:t>
      </w:r>
    </w:p>
    <w:p w14:paraId="085C2689" w14:textId="77777777"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Open supplies.</w:t>
      </w:r>
    </w:p>
    <w:p w14:paraId="523EFAA2" w14:textId="45582BEE"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 xml:space="preserve">Do not use needles or syringes for more than one participant, </w:t>
      </w:r>
      <w:r w:rsidR="00D17C68">
        <w:rPr>
          <w:rFonts w:asciiTheme="minorHAnsi" w:hAnsiTheme="minorHAnsi" w:cstheme="minorHAnsi"/>
          <w:bCs/>
          <w:sz w:val="24"/>
          <w:szCs w:val="24"/>
        </w:rPr>
        <w:t>including</w:t>
      </w:r>
      <w:r w:rsidRPr="00057F09">
        <w:rPr>
          <w:rFonts w:asciiTheme="minorHAnsi" w:hAnsiTheme="minorHAnsi" w:cstheme="minorHAnsi"/>
          <w:bCs/>
          <w:sz w:val="24"/>
          <w:szCs w:val="24"/>
        </w:rPr>
        <w:t xml:space="preserve"> prefilled syringes and insulin pens. </w:t>
      </w:r>
      <w:r w:rsidRPr="00B61541">
        <w:rPr>
          <w:rFonts w:asciiTheme="minorHAnsi" w:hAnsiTheme="minorHAnsi" w:cstheme="minorHAnsi"/>
          <w:bCs/>
          <w:i/>
          <w:iCs/>
          <w:sz w:val="24"/>
          <w:szCs w:val="24"/>
        </w:rPr>
        <w:t>One needle, one syringe, one time.</w:t>
      </w:r>
      <w:r w:rsidRPr="00057F09">
        <w:rPr>
          <w:rFonts w:asciiTheme="minorHAnsi" w:hAnsiTheme="minorHAnsi" w:cstheme="minorHAnsi"/>
          <w:bCs/>
          <w:sz w:val="24"/>
          <w:szCs w:val="24"/>
        </w:rPr>
        <w:t xml:space="preserve"> </w:t>
      </w:r>
      <w:r w:rsidR="00AD0A6F" w:rsidRPr="00AD0A6F">
        <w:rPr>
          <w:rFonts w:asciiTheme="minorHAnsi" w:hAnsiTheme="minorHAnsi" w:cstheme="minorHAnsi"/>
          <w:bCs/>
          <w:sz w:val="24"/>
          <w:szCs w:val="24"/>
        </w:rPr>
        <w:t>Insert a new needle from a new syringe into medication vials, even when obtaining additional doses for the same participant.</w:t>
      </w:r>
    </w:p>
    <w:p w14:paraId="552200C7" w14:textId="77777777"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Use aseptic (clean) technique when preparing and administering medications to prevent contamination.</w:t>
      </w:r>
    </w:p>
    <w:p w14:paraId="1484A9AA" w14:textId="2FC17632"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If using a multi-dose vial, disinfect the rubber septum with alcohol before accessing.</w:t>
      </w:r>
    </w:p>
    <w:p w14:paraId="406D8A4B" w14:textId="77777777"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Single-dose or single-use medication vials, including manufactured prefilled syringes such as insulin pens and Epi Pens, are used for only one participant.</w:t>
      </w:r>
    </w:p>
    <w:p w14:paraId="455F272D" w14:textId="77777777"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 xml:space="preserve">Insulin pens are reusable and should not be disposed of until all medication is used (or expired). </w:t>
      </w:r>
    </w:p>
    <w:p w14:paraId="6E6ED192" w14:textId="77777777" w:rsidR="00D15784" w:rsidRPr="00057F09" w:rsidRDefault="00D15784" w:rsidP="00057F09">
      <w:pPr>
        <w:pStyle w:val="ListParagraph"/>
        <w:numPr>
          <w:ilvl w:val="0"/>
          <w:numId w:val="21"/>
        </w:numPr>
        <w:jc w:val="both"/>
        <w:rPr>
          <w:rFonts w:asciiTheme="minorHAnsi" w:hAnsiTheme="minorHAnsi" w:cstheme="minorHAnsi"/>
          <w:bCs/>
          <w:sz w:val="24"/>
          <w:szCs w:val="24"/>
        </w:rPr>
      </w:pPr>
      <w:r w:rsidRPr="00057F09">
        <w:rPr>
          <w:rFonts w:asciiTheme="minorHAnsi" w:hAnsiTheme="minorHAnsi" w:cstheme="minorHAnsi"/>
          <w:bCs/>
          <w:sz w:val="24"/>
          <w:szCs w:val="24"/>
        </w:rPr>
        <w:t>Never recap needles. Dispose of them immediately after use in a designated and appropriate sharps disposal container.</w:t>
      </w:r>
    </w:p>
    <w:p w14:paraId="161BAF63" w14:textId="77777777" w:rsidR="001433FB" w:rsidRPr="00D15784" w:rsidRDefault="001433FB" w:rsidP="00D15784">
      <w:pPr>
        <w:jc w:val="both"/>
        <w:rPr>
          <w:rFonts w:asciiTheme="minorHAnsi" w:hAnsiTheme="minorHAnsi" w:cstheme="minorHAnsi"/>
          <w:bCs/>
          <w:sz w:val="24"/>
          <w:szCs w:val="24"/>
        </w:rPr>
      </w:pPr>
    </w:p>
    <w:p w14:paraId="025EAC22" w14:textId="77777777" w:rsidR="00597E53" w:rsidRDefault="00597E53" w:rsidP="004848F2">
      <w:pPr>
        <w:pStyle w:val="BodyText"/>
        <w:ind w:left="0"/>
        <w:jc w:val="both"/>
        <w:rPr>
          <w:rFonts w:asciiTheme="minorHAnsi" w:hAnsiTheme="minorHAnsi" w:cstheme="minorHAnsi"/>
          <w:b/>
          <w:bCs/>
          <w:color w:val="006DB7"/>
          <w:sz w:val="24"/>
          <w:szCs w:val="24"/>
        </w:rPr>
      </w:pPr>
    </w:p>
    <w:p w14:paraId="53C6B30F" w14:textId="77777777" w:rsidR="00756C2E" w:rsidRDefault="00756C2E" w:rsidP="004848F2">
      <w:pPr>
        <w:pStyle w:val="BodyText"/>
        <w:ind w:left="0"/>
        <w:jc w:val="both"/>
        <w:rPr>
          <w:rFonts w:asciiTheme="minorHAnsi" w:hAnsiTheme="minorHAnsi" w:cstheme="minorHAnsi"/>
          <w:b/>
          <w:bCs/>
          <w:color w:val="006DB7"/>
          <w:sz w:val="24"/>
          <w:szCs w:val="24"/>
        </w:rPr>
      </w:pPr>
    </w:p>
    <w:p w14:paraId="7B975B07" w14:textId="4526F3AA" w:rsidR="00AF655A" w:rsidRPr="00542557" w:rsidRDefault="00AF655A" w:rsidP="004848F2">
      <w:pPr>
        <w:pStyle w:val="BodyText"/>
        <w:ind w:left="0"/>
        <w:jc w:val="both"/>
        <w:rPr>
          <w:rFonts w:asciiTheme="minorHAnsi" w:hAnsiTheme="minorHAnsi" w:cstheme="minorHAnsi"/>
          <w:b/>
          <w:bCs/>
          <w:color w:val="006DB7"/>
          <w:sz w:val="24"/>
          <w:szCs w:val="24"/>
        </w:rPr>
      </w:pPr>
      <w:r w:rsidRPr="00542557">
        <w:rPr>
          <w:rFonts w:asciiTheme="minorHAnsi" w:hAnsiTheme="minorHAnsi" w:cstheme="minorHAnsi"/>
          <w:b/>
          <w:bCs/>
          <w:color w:val="006DB7"/>
          <w:sz w:val="24"/>
          <w:szCs w:val="24"/>
        </w:rPr>
        <w:lastRenderedPageBreak/>
        <w:t>Guidelines, Standards, and Resources for Policy/Procedure Development</w:t>
      </w:r>
    </w:p>
    <w:p w14:paraId="4CC32C74" w14:textId="77777777" w:rsidR="00B44954" w:rsidRPr="00542557" w:rsidRDefault="00B44954" w:rsidP="004848F2">
      <w:pPr>
        <w:pStyle w:val="BodyText"/>
        <w:ind w:left="0"/>
        <w:jc w:val="both"/>
        <w:rPr>
          <w:rFonts w:asciiTheme="minorHAnsi" w:hAnsiTheme="minorHAnsi" w:cstheme="minorHAnsi"/>
          <w:b/>
          <w:bCs/>
          <w:color w:val="006DB7"/>
          <w:sz w:val="24"/>
          <w:szCs w:val="24"/>
        </w:rPr>
      </w:pPr>
    </w:p>
    <w:p w14:paraId="17F3C099" w14:textId="77777777" w:rsidR="00D267B0" w:rsidRPr="00D267B0" w:rsidRDefault="00D267B0" w:rsidP="00D267B0">
      <w:pPr>
        <w:jc w:val="both"/>
        <w:rPr>
          <w:rFonts w:asciiTheme="minorHAnsi" w:hAnsiTheme="minorHAnsi" w:cstheme="minorHAnsi"/>
          <w:iCs/>
          <w:sz w:val="24"/>
          <w:szCs w:val="24"/>
        </w:rPr>
      </w:pPr>
      <w:r w:rsidRPr="00D267B0">
        <w:rPr>
          <w:rFonts w:asciiTheme="minorHAnsi" w:hAnsiTheme="minorHAnsi" w:cstheme="minorHAnsi"/>
          <w:iCs/>
          <w:sz w:val="24"/>
          <w:szCs w:val="24"/>
        </w:rPr>
        <w:t xml:space="preserve">Safe injection practices should be incorporated into all practices related to the preparation, administration, and storage of injectable medications. These policies and procedures should be developed using evidence-based guidelines or national standards, such as resources from the Centers for Disease Control and Prevention (CDC). Please refer to the following resources for developing Injection Safety policies and procedures for </w:t>
      </w:r>
      <w:r w:rsidRPr="00F85D2B">
        <w:rPr>
          <w:rFonts w:asciiTheme="minorHAnsi" w:hAnsiTheme="minorHAnsi" w:cstheme="minorHAnsi"/>
          <w:iCs/>
          <w:sz w:val="24"/>
          <w:szCs w:val="24"/>
          <w:highlight w:val="yellow"/>
        </w:rPr>
        <w:t>your center</w:t>
      </w:r>
      <w:r w:rsidRPr="00D267B0">
        <w:rPr>
          <w:rFonts w:asciiTheme="minorHAnsi" w:hAnsiTheme="minorHAnsi" w:cstheme="minorHAnsi"/>
          <w:iCs/>
          <w:sz w:val="24"/>
          <w:szCs w:val="24"/>
        </w:rPr>
        <w:t>:</w:t>
      </w:r>
    </w:p>
    <w:p w14:paraId="7D30707D" w14:textId="1EA3796D" w:rsidR="00D267B0" w:rsidRPr="00D267B0" w:rsidRDefault="00000000" w:rsidP="00D267B0">
      <w:pPr>
        <w:pStyle w:val="ListParagraph"/>
        <w:numPr>
          <w:ilvl w:val="0"/>
          <w:numId w:val="19"/>
        </w:numPr>
        <w:rPr>
          <w:rFonts w:asciiTheme="minorHAnsi" w:hAnsiTheme="minorHAnsi" w:cstheme="minorHAnsi"/>
          <w:iCs/>
          <w:sz w:val="24"/>
          <w:szCs w:val="24"/>
        </w:rPr>
      </w:pPr>
      <w:hyperlink r:id="rId10" w:history="1">
        <w:r w:rsidR="00A5456B" w:rsidRPr="00A5456B">
          <w:rPr>
            <w:rStyle w:val="Hyperlink"/>
            <w:rFonts w:asciiTheme="minorHAnsi" w:hAnsiTheme="minorHAnsi" w:cstheme="minorHAnsi"/>
            <w:iCs/>
            <w:sz w:val="24"/>
            <w:szCs w:val="24"/>
          </w:rPr>
          <w:t>Isolation Precautions | CDC</w:t>
        </w:r>
      </w:hyperlink>
    </w:p>
    <w:p w14:paraId="4658737B" w14:textId="3F4FA6B9" w:rsidR="00D267B0" w:rsidRPr="00D267B0" w:rsidRDefault="00000000" w:rsidP="00D267B0">
      <w:pPr>
        <w:pStyle w:val="ListParagraph"/>
        <w:numPr>
          <w:ilvl w:val="0"/>
          <w:numId w:val="19"/>
        </w:numPr>
        <w:rPr>
          <w:rFonts w:asciiTheme="minorHAnsi" w:hAnsiTheme="minorHAnsi" w:cstheme="minorHAnsi"/>
          <w:iCs/>
          <w:sz w:val="24"/>
          <w:szCs w:val="24"/>
        </w:rPr>
      </w:pPr>
      <w:hyperlink r:id="rId11" w:history="1">
        <w:r w:rsidR="000240AA" w:rsidRPr="000240AA">
          <w:rPr>
            <w:rStyle w:val="Hyperlink"/>
            <w:rFonts w:asciiTheme="minorHAnsi" w:hAnsiTheme="minorHAnsi" w:cstheme="minorHAnsi"/>
            <w:iCs/>
            <w:sz w:val="24"/>
            <w:szCs w:val="24"/>
          </w:rPr>
          <w:t>Injection Safety | CDC</w:t>
        </w:r>
      </w:hyperlink>
    </w:p>
    <w:p w14:paraId="15A7EB7A" w14:textId="074C8BD0" w:rsidR="000A3256" w:rsidRDefault="00000000" w:rsidP="00D267B0">
      <w:pPr>
        <w:pStyle w:val="ListParagraph"/>
        <w:numPr>
          <w:ilvl w:val="0"/>
          <w:numId w:val="19"/>
        </w:numPr>
        <w:rPr>
          <w:rFonts w:asciiTheme="minorHAnsi" w:hAnsiTheme="minorHAnsi" w:cstheme="minorHAnsi"/>
          <w:iCs/>
          <w:sz w:val="24"/>
          <w:szCs w:val="24"/>
        </w:rPr>
      </w:pPr>
      <w:hyperlink r:id="rId12" w:history="1">
        <w:r w:rsidR="000A3256" w:rsidRPr="00DC5155">
          <w:rPr>
            <w:rStyle w:val="Hyperlink"/>
            <w:rFonts w:asciiTheme="minorHAnsi" w:hAnsiTheme="minorHAnsi" w:cstheme="minorHAnsi"/>
            <w:iCs/>
            <w:sz w:val="24"/>
            <w:szCs w:val="24"/>
          </w:rPr>
          <w:t>Safe Injection Practices to Prevent Transmission of Infections to Patients | CDC</w:t>
        </w:r>
      </w:hyperlink>
    </w:p>
    <w:p w14:paraId="3428807B" w14:textId="31066765" w:rsidR="005E66EF" w:rsidRPr="00AF5819" w:rsidRDefault="00000000" w:rsidP="00AF5819">
      <w:pPr>
        <w:pStyle w:val="ListParagraph"/>
        <w:numPr>
          <w:ilvl w:val="0"/>
          <w:numId w:val="19"/>
        </w:numPr>
        <w:jc w:val="both"/>
        <w:rPr>
          <w:rFonts w:asciiTheme="minorHAnsi" w:hAnsiTheme="minorHAnsi" w:cstheme="minorHAnsi"/>
          <w:b/>
          <w:bCs/>
          <w:iCs/>
          <w:color w:val="006DB7"/>
          <w:sz w:val="24"/>
          <w:szCs w:val="24"/>
        </w:rPr>
      </w:pPr>
      <w:hyperlink r:id="rId13" w:history="1">
        <w:r w:rsidR="00AF5819" w:rsidRPr="008561C1">
          <w:rPr>
            <w:rStyle w:val="Hyperlink"/>
            <w:rFonts w:asciiTheme="minorHAnsi" w:hAnsiTheme="minorHAnsi" w:cstheme="minorHAnsi"/>
            <w:iCs/>
            <w:sz w:val="24"/>
            <w:szCs w:val="24"/>
          </w:rPr>
          <w:t>Bloodborne Pathogens and Needlestick Prevention | OSHA</w:t>
        </w:r>
      </w:hyperlink>
    </w:p>
    <w:p w14:paraId="74694F20" w14:textId="77777777" w:rsidR="005E66EF" w:rsidRPr="00542557" w:rsidRDefault="005E66EF" w:rsidP="00DA0B9E">
      <w:pPr>
        <w:jc w:val="both"/>
        <w:rPr>
          <w:rFonts w:asciiTheme="minorHAnsi" w:hAnsiTheme="minorHAnsi" w:cstheme="minorHAnsi"/>
          <w:b/>
          <w:bCs/>
          <w:iCs/>
          <w:color w:val="006DB7"/>
          <w:sz w:val="24"/>
          <w:szCs w:val="24"/>
        </w:rPr>
      </w:pPr>
    </w:p>
    <w:p w14:paraId="29AAF514" w14:textId="77777777" w:rsidR="005E66EF" w:rsidRDefault="005E66EF" w:rsidP="00DA0B9E">
      <w:pPr>
        <w:jc w:val="both"/>
        <w:rPr>
          <w:rFonts w:asciiTheme="minorHAnsi" w:hAnsiTheme="minorHAnsi" w:cstheme="minorHAnsi"/>
          <w:b/>
          <w:bCs/>
          <w:iCs/>
          <w:color w:val="006DB7"/>
          <w:sz w:val="24"/>
          <w:szCs w:val="24"/>
        </w:rPr>
      </w:pPr>
    </w:p>
    <w:p w14:paraId="1F8BDC2F" w14:textId="77777777" w:rsidR="007E2B00" w:rsidRDefault="007E2B00" w:rsidP="00DA0B9E">
      <w:pPr>
        <w:jc w:val="both"/>
        <w:rPr>
          <w:rFonts w:asciiTheme="minorHAnsi" w:hAnsiTheme="minorHAnsi" w:cstheme="minorHAnsi"/>
          <w:b/>
          <w:bCs/>
          <w:iCs/>
          <w:color w:val="006DB7"/>
          <w:sz w:val="24"/>
          <w:szCs w:val="24"/>
        </w:rPr>
      </w:pPr>
    </w:p>
    <w:p w14:paraId="0A7E4C3C" w14:textId="77777777" w:rsidR="007E2B00" w:rsidRDefault="007E2B00" w:rsidP="00DA0B9E">
      <w:pPr>
        <w:jc w:val="both"/>
        <w:rPr>
          <w:rFonts w:asciiTheme="minorHAnsi" w:hAnsiTheme="minorHAnsi" w:cstheme="minorHAnsi"/>
          <w:b/>
          <w:bCs/>
          <w:iCs/>
          <w:color w:val="006DB7"/>
          <w:sz w:val="24"/>
          <w:szCs w:val="24"/>
        </w:rPr>
      </w:pPr>
    </w:p>
    <w:p w14:paraId="5850B5F0" w14:textId="77777777" w:rsidR="007E2B00" w:rsidRDefault="007E2B00" w:rsidP="00DA0B9E">
      <w:pPr>
        <w:jc w:val="both"/>
        <w:rPr>
          <w:rFonts w:asciiTheme="minorHAnsi" w:hAnsiTheme="minorHAnsi" w:cstheme="minorHAnsi"/>
          <w:b/>
          <w:bCs/>
          <w:iCs/>
          <w:color w:val="006DB7"/>
          <w:sz w:val="24"/>
          <w:szCs w:val="24"/>
        </w:rPr>
      </w:pPr>
    </w:p>
    <w:p w14:paraId="3594E846" w14:textId="77777777" w:rsidR="007E2B00" w:rsidRDefault="007E2B00" w:rsidP="00DA0B9E">
      <w:pPr>
        <w:jc w:val="both"/>
        <w:rPr>
          <w:rFonts w:asciiTheme="minorHAnsi" w:hAnsiTheme="minorHAnsi" w:cstheme="minorHAnsi"/>
          <w:b/>
          <w:bCs/>
          <w:iCs/>
          <w:color w:val="006DB7"/>
          <w:sz w:val="24"/>
          <w:szCs w:val="24"/>
        </w:rPr>
      </w:pPr>
    </w:p>
    <w:p w14:paraId="7F8BEFD1" w14:textId="77777777" w:rsidR="007E2B00" w:rsidRDefault="007E2B00" w:rsidP="00DA0B9E">
      <w:pPr>
        <w:jc w:val="both"/>
        <w:rPr>
          <w:rFonts w:asciiTheme="minorHAnsi" w:hAnsiTheme="minorHAnsi" w:cstheme="minorHAnsi"/>
          <w:b/>
          <w:bCs/>
          <w:iCs/>
          <w:color w:val="006DB7"/>
          <w:sz w:val="24"/>
          <w:szCs w:val="24"/>
        </w:rPr>
      </w:pPr>
    </w:p>
    <w:p w14:paraId="536CD786" w14:textId="77777777" w:rsidR="007E2B00" w:rsidRPr="00542557" w:rsidRDefault="007E2B00" w:rsidP="00DA0B9E">
      <w:pPr>
        <w:jc w:val="both"/>
        <w:rPr>
          <w:rFonts w:asciiTheme="minorHAnsi" w:hAnsiTheme="minorHAnsi" w:cstheme="minorHAnsi"/>
          <w:b/>
          <w:bCs/>
          <w:iCs/>
          <w:color w:val="006DB7"/>
          <w:sz w:val="24"/>
          <w:szCs w:val="24"/>
        </w:rPr>
      </w:pPr>
    </w:p>
    <w:p w14:paraId="7F7DD982" w14:textId="77777777" w:rsidR="005E66EF" w:rsidRPr="00542557" w:rsidRDefault="005E66EF" w:rsidP="00DA0B9E">
      <w:pPr>
        <w:jc w:val="both"/>
        <w:rPr>
          <w:rFonts w:asciiTheme="minorHAnsi" w:hAnsiTheme="minorHAnsi" w:cstheme="minorHAnsi"/>
          <w:b/>
          <w:bCs/>
          <w:iCs/>
          <w:color w:val="006DB7"/>
          <w:sz w:val="24"/>
          <w:szCs w:val="24"/>
        </w:rPr>
      </w:pPr>
    </w:p>
    <w:p w14:paraId="319DC43B" w14:textId="77777777" w:rsidR="005E66EF" w:rsidRPr="00542557" w:rsidRDefault="005E66EF" w:rsidP="00DA0B9E">
      <w:pPr>
        <w:jc w:val="both"/>
        <w:rPr>
          <w:rFonts w:asciiTheme="minorHAnsi" w:hAnsiTheme="minorHAnsi" w:cstheme="minorHAnsi"/>
          <w:b/>
          <w:bCs/>
          <w:iCs/>
          <w:color w:val="006DB7"/>
          <w:sz w:val="24"/>
          <w:szCs w:val="24"/>
        </w:rPr>
      </w:pPr>
    </w:p>
    <w:p w14:paraId="51C0C368" w14:textId="77777777" w:rsidR="005E66EF" w:rsidRPr="00542557" w:rsidRDefault="005E66EF" w:rsidP="00DA0B9E">
      <w:pPr>
        <w:jc w:val="both"/>
        <w:rPr>
          <w:rFonts w:asciiTheme="minorHAnsi" w:hAnsiTheme="minorHAnsi" w:cstheme="minorHAnsi"/>
          <w:b/>
          <w:bCs/>
          <w:iCs/>
          <w:color w:val="006DB7"/>
          <w:sz w:val="24"/>
          <w:szCs w:val="24"/>
        </w:rPr>
      </w:pPr>
    </w:p>
    <w:p w14:paraId="2C11DE9D" w14:textId="77777777" w:rsidR="005E66EF" w:rsidRPr="00542557" w:rsidRDefault="005E66EF" w:rsidP="00DA0B9E">
      <w:pPr>
        <w:jc w:val="both"/>
        <w:rPr>
          <w:rFonts w:asciiTheme="minorHAnsi" w:hAnsiTheme="minorHAnsi" w:cstheme="minorHAnsi"/>
          <w:b/>
          <w:bCs/>
          <w:iCs/>
          <w:color w:val="006DB7"/>
          <w:sz w:val="24"/>
          <w:szCs w:val="24"/>
        </w:rPr>
      </w:pPr>
    </w:p>
    <w:p w14:paraId="48D22539" w14:textId="77777777" w:rsidR="005E66EF" w:rsidRPr="00542557" w:rsidRDefault="005E66EF" w:rsidP="00DA0B9E">
      <w:pPr>
        <w:jc w:val="both"/>
        <w:rPr>
          <w:rFonts w:asciiTheme="minorHAnsi" w:hAnsiTheme="minorHAnsi" w:cstheme="minorHAnsi"/>
          <w:b/>
          <w:bCs/>
          <w:iCs/>
          <w:color w:val="006DB7"/>
          <w:sz w:val="24"/>
          <w:szCs w:val="24"/>
        </w:rPr>
      </w:pPr>
    </w:p>
    <w:p w14:paraId="0A997E59" w14:textId="77777777" w:rsidR="005E66EF" w:rsidRPr="00542557" w:rsidRDefault="005E66EF" w:rsidP="00DA0B9E">
      <w:pPr>
        <w:jc w:val="both"/>
        <w:rPr>
          <w:rFonts w:asciiTheme="minorHAnsi" w:hAnsiTheme="minorHAnsi" w:cstheme="minorHAnsi"/>
          <w:b/>
          <w:bCs/>
          <w:iCs/>
          <w:color w:val="006DB7"/>
          <w:sz w:val="24"/>
          <w:szCs w:val="24"/>
        </w:rPr>
      </w:pPr>
    </w:p>
    <w:p w14:paraId="773C0CF9" w14:textId="77777777" w:rsidR="005E66EF" w:rsidRPr="00542557" w:rsidRDefault="005E66EF" w:rsidP="00DA0B9E">
      <w:pPr>
        <w:jc w:val="both"/>
        <w:rPr>
          <w:rFonts w:asciiTheme="minorHAnsi" w:hAnsiTheme="minorHAnsi" w:cstheme="minorHAnsi"/>
          <w:b/>
          <w:bCs/>
          <w:iCs/>
          <w:color w:val="006DB7"/>
          <w:sz w:val="24"/>
          <w:szCs w:val="24"/>
        </w:rPr>
      </w:pPr>
    </w:p>
    <w:p w14:paraId="58D07DDA" w14:textId="77777777" w:rsidR="005E66EF" w:rsidRPr="00542557" w:rsidRDefault="005E66EF" w:rsidP="00DA0B9E">
      <w:pPr>
        <w:jc w:val="both"/>
        <w:rPr>
          <w:rFonts w:asciiTheme="minorHAnsi" w:hAnsiTheme="minorHAnsi" w:cstheme="minorHAnsi"/>
          <w:b/>
          <w:bCs/>
          <w:iCs/>
          <w:color w:val="006DB7"/>
          <w:sz w:val="24"/>
          <w:szCs w:val="24"/>
        </w:rPr>
      </w:pPr>
    </w:p>
    <w:p w14:paraId="276A7FC7" w14:textId="77777777" w:rsidR="005E66EF" w:rsidRPr="00542557" w:rsidRDefault="005E66EF" w:rsidP="00DA0B9E">
      <w:pPr>
        <w:jc w:val="both"/>
        <w:rPr>
          <w:rFonts w:asciiTheme="minorHAnsi" w:hAnsiTheme="minorHAnsi" w:cstheme="minorHAnsi"/>
          <w:b/>
          <w:bCs/>
          <w:iCs/>
          <w:color w:val="006DB7"/>
          <w:sz w:val="24"/>
          <w:szCs w:val="24"/>
        </w:rPr>
      </w:pPr>
    </w:p>
    <w:p w14:paraId="229ABB9A" w14:textId="77777777" w:rsidR="005E66EF" w:rsidRPr="00542557" w:rsidRDefault="005E66EF" w:rsidP="00DA0B9E">
      <w:pPr>
        <w:jc w:val="both"/>
        <w:rPr>
          <w:rFonts w:asciiTheme="minorHAnsi" w:hAnsiTheme="minorHAnsi" w:cstheme="minorHAnsi"/>
          <w:b/>
          <w:bCs/>
          <w:iCs/>
          <w:color w:val="006DB7"/>
          <w:sz w:val="24"/>
          <w:szCs w:val="24"/>
        </w:rPr>
      </w:pPr>
    </w:p>
    <w:p w14:paraId="37D5497F" w14:textId="77777777" w:rsidR="005E66EF" w:rsidRPr="00542557" w:rsidRDefault="005E66EF" w:rsidP="00DA0B9E">
      <w:pPr>
        <w:jc w:val="both"/>
        <w:rPr>
          <w:rFonts w:asciiTheme="minorHAnsi" w:hAnsiTheme="minorHAnsi" w:cstheme="minorHAnsi"/>
          <w:b/>
          <w:bCs/>
          <w:iCs/>
          <w:color w:val="006DB7"/>
          <w:sz w:val="24"/>
          <w:szCs w:val="24"/>
        </w:rPr>
      </w:pPr>
    </w:p>
    <w:p w14:paraId="735D8F73" w14:textId="77777777" w:rsidR="005E66EF" w:rsidRPr="00542557" w:rsidRDefault="005E66EF" w:rsidP="00DA0B9E">
      <w:pPr>
        <w:jc w:val="both"/>
        <w:rPr>
          <w:rFonts w:asciiTheme="minorHAnsi" w:hAnsiTheme="minorHAnsi" w:cstheme="minorHAnsi"/>
          <w:b/>
          <w:bCs/>
          <w:iCs/>
          <w:color w:val="006DB7"/>
          <w:sz w:val="24"/>
          <w:szCs w:val="24"/>
        </w:rPr>
      </w:pPr>
    </w:p>
    <w:p w14:paraId="485D1759" w14:textId="77777777" w:rsidR="005E66EF" w:rsidRPr="00542557" w:rsidRDefault="005E66EF" w:rsidP="00DA0B9E">
      <w:pPr>
        <w:jc w:val="both"/>
        <w:rPr>
          <w:rFonts w:asciiTheme="minorHAnsi" w:hAnsiTheme="minorHAnsi" w:cstheme="minorHAnsi"/>
          <w:b/>
          <w:bCs/>
          <w:iCs/>
          <w:color w:val="006DB7"/>
          <w:sz w:val="24"/>
          <w:szCs w:val="24"/>
        </w:rPr>
      </w:pPr>
    </w:p>
    <w:p w14:paraId="0CCB7183" w14:textId="77777777" w:rsidR="005E66EF" w:rsidRPr="00542557" w:rsidRDefault="005E66EF" w:rsidP="00DA0B9E">
      <w:pPr>
        <w:jc w:val="both"/>
        <w:rPr>
          <w:rFonts w:asciiTheme="minorHAnsi" w:hAnsiTheme="minorHAnsi" w:cstheme="minorHAnsi"/>
          <w:b/>
          <w:bCs/>
          <w:iCs/>
          <w:color w:val="006DB7"/>
          <w:sz w:val="24"/>
          <w:szCs w:val="24"/>
        </w:rPr>
      </w:pPr>
    </w:p>
    <w:p w14:paraId="4E3367C1" w14:textId="77777777" w:rsidR="005E66EF" w:rsidRPr="00542557" w:rsidRDefault="005E66EF" w:rsidP="00DA0B9E">
      <w:pPr>
        <w:jc w:val="both"/>
        <w:rPr>
          <w:rFonts w:asciiTheme="minorHAnsi" w:hAnsiTheme="minorHAnsi" w:cstheme="minorHAnsi"/>
          <w:b/>
          <w:bCs/>
          <w:iCs/>
          <w:color w:val="006DB7"/>
          <w:sz w:val="24"/>
          <w:szCs w:val="24"/>
        </w:rPr>
      </w:pPr>
    </w:p>
    <w:p w14:paraId="602DC4DC" w14:textId="77777777" w:rsidR="005E66EF" w:rsidRPr="00542557" w:rsidRDefault="005E66EF" w:rsidP="00DA0B9E">
      <w:pPr>
        <w:jc w:val="both"/>
        <w:rPr>
          <w:rFonts w:asciiTheme="minorHAnsi" w:hAnsiTheme="minorHAnsi" w:cstheme="minorHAnsi"/>
          <w:b/>
          <w:bCs/>
          <w:iCs/>
          <w:color w:val="006DB7"/>
          <w:sz w:val="24"/>
          <w:szCs w:val="24"/>
        </w:rPr>
      </w:pPr>
    </w:p>
    <w:p w14:paraId="56296574" w14:textId="77777777" w:rsidR="005E66EF" w:rsidRPr="00542557" w:rsidRDefault="005E66EF" w:rsidP="00DA0B9E">
      <w:pPr>
        <w:jc w:val="both"/>
        <w:rPr>
          <w:rFonts w:asciiTheme="minorHAnsi" w:hAnsiTheme="minorHAnsi" w:cstheme="minorHAnsi"/>
          <w:b/>
          <w:bCs/>
          <w:iCs/>
          <w:color w:val="006DB7"/>
          <w:sz w:val="24"/>
          <w:szCs w:val="24"/>
        </w:rPr>
      </w:pPr>
    </w:p>
    <w:p w14:paraId="69ACC60E"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6CCC42D0"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7DC33831"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1B1A7F64"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2BAD7904"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0DCA6E25" w14:textId="77777777" w:rsidR="00542557" w:rsidRDefault="00542557" w:rsidP="00DA0B9E">
      <w:pPr>
        <w:jc w:val="both"/>
        <w:rPr>
          <w:rFonts w:asciiTheme="minorHAnsi" w:hAnsiTheme="minorHAnsi" w:cstheme="minorHAnsi"/>
          <w:b/>
          <w:bCs/>
          <w:iCs/>
          <w:color w:val="006DB7"/>
          <w:sz w:val="28"/>
          <w:szCs w:val="28"/>
          <w:highlight w:val="yellow"/>
          <w:u w:val="single"/>
        </w:rPr>
      </w:pPr>
    </w:p>
    <w:p w14:paraId="754D7CB6" w14:textId="4029F50F" w:rsidR="0057208B" w:rsidRPr="00542557" w:rsidRDefault="0057208B" w:rsidP="00DA0B9E">
      <w:pPr>
        <w:jc w:val="both"/>
        <w:rPr>
          <w:rFonts w:asciiTheme="minorHAnsi" w:hAnsiTheme="minorHAnsi" w:cstheme="minorHAnsi"/>
          <w:b/>
          <w:bCs/>
          <w:iCs/>
          <w:color w:val="006DB7"/>
          <w:sz w:val="28"/>
          <w:szCs w:val="28"/>
          <w:u w:val="single"/>
        </w:rPr>
      </w:pPr>
      <w:r w:rsidRPr="00542557">
        <w:rPr>
          <w:rFonts w:asciiTheme="minorHAnsi" w:hAnsiTheme="minorHAnsi" w:cstheme="minorHAnsi"/>
          <w:b/>
          <w:bCs/>
          <w:iCs/>
          <w:color w:val="006DB7"/>
          <w:sz w:val="28"/>
          <w:szCs w:val="28"/>
          <w:highlight w:val="yellow"/>
          <w:u w:val="single"/>
        </w:rPr>
        <w:lastRenderedPageBreak/>
        <w:t>Notes and Recommendations</w:t>
      </w:r>
    </w:p>
    <w:p w14:paraId="06389B68" w14:textId="77777777" w:rsidR="001945F2" w:rsidRPr="00542557" w:rsidRDefault="001945F2" w:rsidP="00DA0B9E">
      <w:pPr>
        <w:jc w:val="both"/>
        <w:rPr>
          <w:rFonts w:asciiTheme="minorHAnsi" w:hAnsiTheme="minorHAnsi" w:cstheme="minorHAnsi"/>
          <w:b/>
          <w:bCs/>
          <w:iCs/>
          <w:color w:val="006DB7"/>
          <w:sz w:val="24"/>
          <w:szCs w:val="24"/>
        </w:rPr>
      </w:pPr>
    </w:p>
    <w:p w14:paraId="1C5D1660" w14:textId="77777777" w:rsidR="00651118" w:rsidRPr="00070D3A"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 xml:space="preserve">Consider addressing Occupational and Safety Health Administration (OSHA) standards for prevention and management of exposure to bloodborne pathogens through injection safety practices. </w:t>
      </w:r>
    </w:p>
    <w:p w14:paraId="3A30133A" w14:textId="77777777" w:rsidR="00651118" w:rsidRPr="00070D3A"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 xml:space="preserve">For all staff and volunteer training, use quizzes/tests at the conclusion of training, return demonstration, or teach back of content to ensure comprehension. </w:t>
      </w:r>
    </w:p>
    <w:p w14:paraId="615E744E" w14:textId="77777777" w:rsidR="00651118" w:rsidRPr="00070D3A"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 xml:space="preserve">Use an audit tool for compliance with injection safety and implement an auditing schedule for ongoing sustainment of this policy. </w:t>
      </w:r>
    </w:p>
    <w:p w14:paraId="7FA0C52D" w14:textId="77777777" w:rsidR="00651118" w:rsidRPr="00070D3A"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 xml:space="preserve">All sources, standards, guidelines, and resources should be verified annually, or more frequently as your center policy dictates, to ensure the most up to date information is provided. </w:t>
      </w:r>
    </w:p>
    <w:p w14:paraId="55B93E51" w14:textId="77777777" w:rsidR="00651118" w:rsidRPr="00070D3A"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 xml:space="preserve">Centers who administer injectable medications other than insulin should consider updating the language in this policy to include the use of those specific types of medications and not leave the broad term of “medications” in the policy. For example, does your center administer Epi pens? If so, include the name of this specific medication in your policy. </w:t>
      </w:r>
    </w:p>
    <w:p w14:paraId="3E9883B7" w14:textId="77777777" w:rsidR="00651118" w:rsidRPr="00070D3A"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Consider outlining where sharps container locations are within your individual center and include that information in your policy.</w:t>
      </w:r>
    </w:p>
    <w:p w14:paraId="6901AA50" w14:textId="12A8230C" w:rsidR="00DC0638"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 xml:space="preserve">If the staff from your center </w:t>
      </w:r>
      <w:r w:rsidR="00865170">
        <w:rPr>
          <w:rFonts w:asciiTheme="minorHAnsi" w:hAnsiTheme="minorHAnsi" w:cstheme="minorHAnsi"/>
          <w:iCs/>
          <w:sz w:val="24"/>
          <w:szCs w:val="24"/>
        </w:rPr>
        <w:t>is</w:t>
      </w:r>
      <w:r w:rsidRPr="00070D3A">
        <w:rPr>
          <w:rFonts w:asciiTheme="minorHAnsi" w:hAnsiTheme="minorHAnsi" w:cstheme="minorHAnsi"/>
          <w:iCs/>
          <w:sz w:val="24"/>
          <w:szCs w:val="24"/>
        </w:rPr>
        <w:t xml:space="preserve"> administering additional injections to include flu shots, COVID-19 vaccines/boosters, and other similar medications, then follow guidance for single</w:t>
      </w:r>
      <w:r w:rsidR="001A1F75">
        <w:rPr>
          <w:rFonts w:asciiTheme="minorHAnsi" w:hAnsiTheme="minorHAnsi" w:cstheme="minorHAnsi"/>
          <w:iCs/>
          <w:sz w:val="24"/>
          <w:szCs w:val="24"/>
        </w:rPr>
        <w:t>-</w:t>
      </w:r>
      <w:r w:rsidRPr="00070D3A">
        <w:rPr>
          <w:rFonts w:asciiTheme="minorHAnsi" w:hAnsiTheme="minorHAnsi" w:cstheme="minorHAnsi"/>
          <w:iCs/>
          <w:sz w:val="24"/>
          <w:szCs w:val="24"/>
        </w:rPr>
        <w:t>use vials</w:t>
      </w:r>
      <w:r w:rsidR="0027398A">
        <w:rPr>
          <w:rFonts w:asciiTheme="minorHAnsi" w:hAnsiTheme="minorHAnsi" w:cstheme="minorHAnsi"/>
          <w:iCs/>
          <w:sz w:val="24"/>
          <w:szCs w:val="24"/>
        </w:rPr>
        <w:t xml:space="preserve">: </w:t>
      </w:r>
      <w:r w:rsidR="00D418E3">
        <w:rPr>
          <w:rFonts w:asciiTheme="minorHAnsi" w:hAnsiTheme="minorHAnsi" w:cstheme="minorHAnsi"/>
          <w:iCs/>
          <w:sz w:val="24"/>
          <w:szCs w:val="24"/>
        </w:rPr>
        <w:t>they</w:t>
      </w:r>
      <w:r w:rsidRPr="00070D3A">
        <w:rPr>
          <w:rFonts w:asciiTheme="minorHAnsi" w:hAnsiTheme="minorHAnsi" w:cstheme="minorHAnsi"/>
          <w:iCs/>
          <w:sz w:val="24"/>
          <w:szCs w:val="24"/>
        </w:rPr>
        <w:t xml:space="preserve"> should be accessed one time only and for one participant only. </w:t>
      </w:r>
      <w:r w:rsidR="00492851" w:rsidRPr="00070D3A">
        <w:rPr>
          <w:rFonts w:asciiTheme="minorHAnsi" w:hAnsiTheme="minorHAnsi" w:cstheme="minorHAnsi"/>
          <w:iCs/>
          <w:sz w:val="24"/>
          <w:szCs w:val="24"/>
        </w:rPr>
        <w:t>The remaining</w:t>
      </w:r>
      <w:r w:rsidRPr="00070D3A">
        <w:rPr>
          <w:rFonts w:asciiTheme="minorHAnsi" w:hAnsiTheme="minorHAnsi" w:cstheme="minorHAnsi"/>
          <w:iCs/>
          <w:sz w:val="24"/>
          <w:szCs w:val="24"/>
        </w:rPr>
        <w:t xml:space="preserve"> contents of the vial should be discarded.</w:t>
      </w:r>
      <w:r w:rsidR="00BD5D24" w:rsidRPr="00070D3A">
        <w:rPr>
          <w:rFonts w:asciiTheme="minorHAnsi" w:hAnsiTheme="minorHAnsi" w:cstheme="minorHAnsi"/>
          <w:iCs/>
          <w:sz w:val="24"/>
          <w:szCs w:val="24"/>
        </w:rPr>
        <w:t xml:space="preserve"> </w:t>
      </w:r>
    </w:p>
    <w:p w14:paraId="3FB05047" w14:textId="5079BAD7" w:rsidR="00070D3A" w:rsidRPr="00070D3A"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For centers that use multi-dose vials, include this section in your center’s policy:</w:t>
      </w:r>
    </w:p>
    <w:p w14:paraId="2A8ACD39" w14:textId="14ACAE88" w:rsidR="00651118" w:rsidRPr="00070D3A" w:rsidRDefault="00651118"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Follow the medication order, including participant name, medication, dose, and time.</w:t>
      </w:r>
    </w:p>
    <w:p w14:paraId="29EFC160" w14:textId="1666FA2B" w:rsidR="00651118" w:rsidRPr="00070D3A" w:rsidRDefault="00651118"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 xml:space="preserve">Ensure you have the correct medication vial, including checking the concentration and verifying </w:t>
      </w:r>
      <w:r w:rsidR="00113FF2">
        <w:rPr>
          <w:rFonts w:asciiTheme="minorHAnsi" w:hAnsiTheme="minorHAnsi" w:cstheme="minorHAnsi"/>
          <w:iCs/>
          <w:sz w:val="24"/>
          <w:szCs w:val="24"/>
        </w:rPr>
        <w:t xml:space="preserve">that </w:t>
      </w:r>
      <w:r w:rsidRPr="00070D3A">
        <w:rPr>
          <w:rFonts w:asciiTheme="minorHAnsi" w:hAnsiTheme="minorHAnsi" w:cstheme="minorHAnsi"/>
          <w:iCs/>
          <w:sz w:val="24"/>
          <w:szCs w:val="24"/>
        </w:rPr>
        <w:t>the vial is truly multi-dose.</w:t>
      </w:r>
    </w:p>
    <w:p w14:paraId="6DDA4628" w14:textId="77777777" w:rsidR="00651118" w:rsidRPr="00070D3A" w:rsidRDefault="00651118"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Inspect the multi-dose vial for any obvious signs of contamination and discard the vial if there is any potential for contamination.</w:t>
      </w:r>
    </w:p>
    <w:p w14:paraId="69C254E7" w14:textId="22DF7C2D" w:rsidR="00651118" w:rsidRPr="00070D3A" w:rsidRDefault="00651118"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Verify the expiration date and beyond-use date have not been exceeded. If the multi-dose vial is being accessed for the first time, label it with the beyond-use date.</w:t>
      </w:r>
    </w:p>
    <w:p w14:paraId="5F40232B" w14:textId="77777777" w:rsidR="00651118" w:rsidRPr="00070D3A" w:rsidRDefault="00651118"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Perform hand hygiene.</w:t>
      </w:r>
    </w:p>
    <w:p w14:paraId="3A920F20" w14:textId="77777777" w:rsidR="00651118" w:rsidRPr="00070D3A" w:rsidRDefault="00651118"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Prepare the injection, using aseptic technique, in a designated clean area free from any potential sources of contamination.</w:t>
      </w:r>
    </w:p>
    <w:p w14:paraId="105B04B0" w14:textId="77777777" w:rsidR="00651118" w:rsidRPr="00070D3A" w:rsidRDefault="00651118"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Disinfect the rubber septum with an alcohol wipe.</w:t>
      </w:r>
    </w:p>
    <w:p w14:paraId="0ECF810C" w14:textId="77777777" w:rsidR="00651118" w:rsidRPr="00070D3A" w:rsidRDefault="00651118"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Remove the new sterile needle and sterile syringe from their packaging.</w:t>
      </w:r>
    </w:p>
    <w:p w14:paraId="49966A2C" w14:textId="285E6914" w:rsidR="00651118" w:rsidRPr="00070D3A" w:rsidRDefault="000F181D"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Pr>
          <w:rFonts w:asciiTheme="minorHAnsi" w:hAnsiTheme="minorHAnsi" w:cstheme="minorHAnsi"/>
          <w:iCs/>
          <w:sz w:val="24"/>
          <w:szCs w:val="24"/>
        </w:rPr>
        <w:t xml:space="preserve">Insert </w:t>
      </w:r>
      <w:r w:rsidR="002C35D9">
        <w:rPr>
          <w:rFonts w:asciiTheme="minorHAnsi" w:hAnsiTheme="minorHAnsi" w:cstheme="minorHAnsi"/>
          <w:iCs/>
          <w:sz w:val="24"/>
          <w:szCs w:val="24"/>
        </w:rPr>
        <w:t>a</w:t>
      </w:r>
      <w:r w:rsidR="00651118" w:rsidRPr="00070D3A">
        <w:rPr>
          <w:rFonts w:asciiTheme="minorHAnsi" w:hAnsiTheme="minorHAnsi" w:cstheme="minorHAnsi"/>
          <w:iCs/>
          <w:sz w:val="24"/>
          <w:szCs w:val="24"/>
        </w:rPr>
        <w:t xml:space="preserve"> sterile needle </w:t>
      </w:r>
      <w:r w:rsidR="00664AB3">
        <w:rPr>
          <w:rFonts w:asciiTheme="minorHAnsi" w:hAnsiTheme="minorHAnsi" w:cstheme="minorHAnsi"/>
          <w:iCs/>
          <w:sz w:val="24"/>
          <w:szCs w:val="24"/>
        </w:rPr>
        <w:t>using</w:t>
      </w:r>
      <w:r w:rsidR="002C35D9">
        <w:rPr>
          <w:rFonts w:asciiTheme="minorHAnsi" w:hAnsiTheme="minorHAnsi" w:cstheme="minorHAnsi"/>
          <w:iCs/>
          <w:sz w:val="24"/>
          <w:szCs w:val="24"/>
        </w:rPr>
        <w:t xml:space="preserve"> a</w:t>
      </w:r>
      <w:r w:rsidR="00651118" w:rsidRPr="00070D3A">
        <w:rPr>
          <w:rFonts w:asciiTheme="minorHAnsi" w:hAnsiTheme="minorHAnsi" w:cstheme="minorHAnsi"/>
          <w:iCs/>
          <w:sz w:val="24"/>
          <w:szCs w:val="24"/>
        </w:rPr>
        <w:t xml:space="preserve"> sterile syringe</w:t>
      </w:r>
      <w:r w:rsidR="002C35D9">
        <w:rPr>
          <w:rFonts w:asciiTheme="minorHAnsi" w:hAnsiTheme="minorHAnsi" w:cstheme="minorHAnsi"/>
          <w:iCs/>
          <w:sz w:val="24"/>
          <w:szCs w:val="24"/>
        </w:rPr>
        <w:t xml:space="preserve"> into the vial and</w:t>
      </w:r>
      <w:r w:rsidR="00651118" w:rsidRPr="00070D3A">
        <w:rPr>
          <w:rFonts w:asciiTheme="minorHAnsi" w:hAnsiTheme="minorHAnsi" w:cstheme="minorHAnsi"/>
          <w:iCs/>
          <w:sz w:val="24"/>
          <w:szCs w:val="24"/>
        </w:rPr>
        <w:t xml:space="preserve"> withdraw the appropriate dose of medication per the medication order.</w:t>
      </w:r>
    </w:p>
    <w:p w14:paraId="2A73F865" w14:textId="467B459F" w:rsidR="00651118" w:rsidRPr="00070D3A" w:rsidRDefault="00651118" w:rsidP="00DC06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Return the multi-dose vial to the designated clean storage area. Multi-dose vials are dated when they are first opened and discarded within 28 days</w:t>
      </w:r>
      <w:r w:rsidR="00FB7401">
        <w:rPr>
          <w:rFonts w:asciiTheme="minorHAnsi" w:hAnsiTheme="minorHAnsi" w:cstheme="minorHAnsi"/>
          <w:iCs/>
          <w:sz w:val="24"/>
          <w:szCs w:val="24"/>
        </w:rPr>
        <w:t>,</w:t>
      </w:r>
      <w:r w:rsidRPr="00070D3A">
        <w:rPr>
          <w:rFonts w:asciiTheme="minorHAnsi" w:hAnsiTheme="minorHAnsi" w:cstheme="minorHAnsi"/>
          <w:iCs/>
          <w:sz w:val="24"/>
          <w:szCs w:val="24"/>
        </w:rPr>
        <w:t xml:space="preserve"> </w:t>
      </w:r>
      <w:r w:rsidRPr="00070D3A">
        <w:rPr>
          <w:rFonts w:asciiTheme="minorHAnsi" w:hAnsiTheme="minorHAnsi" w:cstheme="minorHAnsi"/>
          <w:iCs/>
          <w:sz w:val="24"/>
          <w:szCs w:val="24"/>
        </w:rPr>
        <w:lastRenderedPageBreak/>
        <w:t>unless the manufacturer specifies a different (shorter or longer) date for that opened vial</w:t>
      </w:r>
      <w:r w:rsidR="00275085">
        <w:rPr>
          <w:rFonts w:asciiTheme="minorHAnsi" w:hAnsiTheme="minorHAnsi" w:cstheme="minorHAnsi"/>
          <w:iCs/>
          <w:sz w:val="24"/>
          <w:szCs w:val="24"/>
        </w:rPr>
        <w:t xml:space="preserve">. Multi-dose vials </w:t>
      </w:r>
      <w:r w:rsidRPr="00070D3A">
        <w:rPr>
          <w:rFonts w:asciiTheme="minorHAnsi" w:hAnsiTheme="minorHAnsi" w:cstheme="minorHAnsi"/>
          <w:iCs/>
          <w:sz w:val="24"/>
          <w:szCs w:val="24"/>
        </w:rPr>
        <w:t>are dedicated to individual participants whenever possible</w:t>
      </w:r>
    </w:p>
    <w:p w14:paraId="3E0D0F70" w14:textId="0B985134" w:rsidR="00651118" w:rsidRPr="00070D3A"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 xml:space="preserve">In the event of a needlestick, breach in injection safety, or injury, consider adding </w:t>
      </w:r>
      <w:r w:rsidR="0086154B">
        <w:rPr>
          <w:rFonts w:asciiTheme="minorHAnsi" w:hAnsiTheme="minorHAnsi" w:cstheme="minorHAnsi"/>
          <w:iCs/>
          <w:sz w:val="24"/>
          <w:szCs w:val="24"/>
        </w:rPr>
        <w:t>handling guidance</w:t>
      </w:r>
      <w:r w:rsidRPr="00070D3A">
        <w:rPr>
          <w:rFonts w:asciiTheme="minorHAnsi" w:hAnsiTheme="minorHAnsi" w:cstheme="minorHAnsi"/>
          <w:iCs/>
          <w:sz w:val="24"/>
          <w:szCs w:val="24"/>
        </w:rPr>
        <w:t xml:space="preserve"> to your center policy: </w:t>
      </w:r>
    </w:p>
    <w:p w14:paraId="1615FFE0" w14:textId="535E599A" w:rsidR="00651118" w:rsidRPr="00070D3A" w:rsidRDefault="00651118" w:rsidP="0065558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Wash the impacted area with soap and water or use alcohol-based hand rub</w:t>
      </w:r>
      <w:r w:rsidR="003850DB">
        <w:rPr>
          <w:rFonts w:asciiTheme="minorHAnsi" w:hAnsiTheme="minorHAnsi" w:cstheme="minorHAnsi"/>
          <w:iCs/>
          <w:sz w:val="24"/>
          <w:szCs w:val="24"/>
        </w:rPr>
        <w:t>.</w:t>
      </w:r>
    </w:p>
    <w:p w14:paraId="6505F317" w14:textId="554F0421" w:rsidR="00651118" w:rsidRPr="00070D3A" w:rsidRDefault="00651118" w:rsidP="0065558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Apply first aid</w:t>
      </w:r>
      <w:r w:rsidR="003850DB">
        <w:rPr>
          <w:rFonts w:asciiTheme="minorHAnsi" w:hAnsiTheme="minorHAnsi" w:cstheme="minorHAnsi"/>
          <w:iCs/>
          <w:sz w:val="24"/>
          <w:szCs w:val="24"/>
        </w:rPr>
        <w:t>.</w:t>
      </w:r>
    </w:p>
    <w:p w14:paraId="57CE1700" w14:textId="7BC1CFD4" w:rsidR="00070D3A" w:rsidRPr="00070D3A" w:rsidRDefault="00651118" w:rsidP="0065558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Notify your supervisor</w:t>
      </w:r>
      <w:r w:rsidR="003850DB">
        <w:rPr>
          <w:rFonts w:asciiTheme="minorHAnsi" w:hAnsiTheme="minorHAnsi" w:cstheme="minorHAnsi"/>
          <w:iCs/>
          <w:sz w:val="24"/>
          <w:szCs w:val="24"/>
        </w:rPr>
        <w:t>,</w:t>
      </w:r>
      <w:r w:rsidRPr="00070D3A">
        <w:rPr>
          <w:rFonts w:asciiTheme="minorHAnsi" w:hAnsiTheme="minorHAnsi" w:cstheme="minorHAnsi"/>
          <w:iCs/>
          <w:sz w:val="24"/>
          <w:szCs w:val="24"/>
        </w:rPr>
        <w:t xml:space="preserve"> or member of management</w:t>
      </w:r>
      <w:r w:rsidR="003850DB">
        <w:rPr>
          <w:rFonts w:asciiTheme="minorHAnsi" w:hAnsiTheme="minorHAnsi" w:cstheme="minorHAnsi"/>
          <w:iCs/>
          <w:sz w:val="24"/>
          <w:szCs w:val="24"/>
        </w:rPr>
        <w:t>,</w:t>
      </w:r>
      <w:r w:rsidRPr="00070D3A">
        <w:rPr>
          <w:rFonts w:asciiTheme="minorHAnsi" w:hAnsiTheme="minorHAnsi" w:cstheme="minorHAnsi"/>
          <w:iCs/>
          <w:sz w:val="24"/>
          <w:szCs w:val="24"/>
        </w:rPr>
        <w:t xml:space="preserve"> and follow center specific reporting guidance regarding completing an incident report form, etc. </w:t>
      </w:r>
    </w:p>
    <w:p w14:paraId="5E8B94A3" w14:textId="6535B0D7" w:rsidR="00651118" w:rsidRPr="00070D3A" w:rsidRDefault="00651118" w:rsidP="0065558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Seek treatment by a doctor or hospital emergency department if indicated.</w:t>
      </w:r>
    </w:p>
    <w:p w14:paraId="2BD21146" w14:textId="4F1317CE" w:rsidR="00651118" w:rsidRPr="00070D3A" w:rsidRDefault="00651118" w:rsidP="00070D3A">
      <w:pPr>
        <w:pStyle w:val="ListParagraph"/>
        <w:numPr>
          <w:ilvl w:val="0"/>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 xml:space="preserve">Your center may also consider including guidance on ways </w:t>
      </w:r>
      <w:r w:rsidR="0077102C">
        <w:rPr>
          <w:rFonts w:asciiTheme="minorHAnsi" w:hAnsiTheme="minorHAnsi" w:cstheme="minorHAnsi"/>
          <w:iCs/>
          <w:sz w:val="24"/>
          <w:szCs w:val="24"/>
        </w:rPr>
        <w:t>to</w:t>
      </w:r>
      <w:r w:rsidRPr="00070D3A">
        <w:rPr>
          <w:rFonts w:asciiTheme="minorHAnsi" w:hAnsiTheme="minorHAnsi" w:cstheme="minorHAnsi"/>
          <w:iCs/>
          <w:sz w:val="24"/>
          <w:szCs w:val="24"/>
        </w:rPr>
        <w:t xml:space="preserve"> </w:t>
      </w:r>
      <w:r w:rsidR="0077102C">
        <w:rPr>
          <w:rFonts w:asciiTheme="minorHAnsi" w:hAnsiTheme="minorHAnsi" w:cstheme="minorHAnsi"/>
          <w:iCs/>
          <w:sz w:val="24"/>
          <w:szCs w:val="24"/>
        </w:rPr>
        <w:t>reduce</w:t>
      </w:r>
      <w:r w:rsidRPr="00070D3A">
        <w:rPr>
          <w:rFonts w:asciiTheme="minorHAnsi" w:hAnsiTheme="minorHAnsi" w:cstheme="minorHAnsi"/>
          <w:iCs/>
          <w:sz w:val="24"/>
          <w:szCs w:val="24"/>
        </w:rPr>
        <w:t xml:space="preserve"> the risk of needle stick injuries:</w:t>
      </w:r>
    </w:p>
    <w:p w14:paraId="34ED7F06" w14:textId="77777777" w:rsidR="00651118" w:rsidRPr="00070D3A" w:rsidRDefault="00651118" w:rsidP="00042B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Staff who may come in contact with blood or body fluids should be vaccinated</w:t>
      </w:r>
    </w:p>
    <w:p w14:paraId="162EE5CB" w14:textId="77777777" w:rsidR="00651118" w:rsidRPr="00070D3A" w:rsidRDefault="00651118" w:rsidP="00042B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Follow all safety procedures in the workplace</w:t>
      </w:r>
    </w:p>
    <w:p w14:paraId="203263B5" w14:textId="77777777" w:rsidR="00651118" w:rsidRPr="00070D3A" w:rsidRDefault="00651118" w:rsidP="00042B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Minimize your use of needles</w:t>
      </w:r>
    </w:p>
    <w:p w14:paraId="4827CAC1" w14:textId="1D38EFE4" w:rsidR="00651118" w:rsidRPr="00070D3A" w:rsidRDefault="00651118" w:rsidP="00042B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Remember that latex gloves don’t protect against needle stick injuries</w:t>
      </w:r>
    </w:p>
    <w:p w14:paraId="399A2A33" w14:textId="77777777" w:rsidR="00651118" w:rsidRPr="00070D3A" w:rsidRDefault="00651118" w:rsidP="00042B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Don’t bend or snap used needles</w:t>
      </w:r>
    </w:p>
    <w:p w14:paraId="6A51C96E" w14:textId="77777777" w:rsidR="00651118" w:rsidRPr="00070D3A" w:rsidRDefault="00651118" w:rsidP="00042B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Never re-cap a used needle</w:t>
      </w:r>
    </w:p>
    <w:p w14:paraId="5EA9782C" w14:textId="77777777" w:rsidR="00651118" w:rsidRPr="00070D3A" w:rsidRDefault="00651118" w:rsidP="00042B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Follow safety precautions and procedures for disposing of needles</w:t>
      </w:r>
    </w:p>
    <w:p w14:paraId="26740973" w14:textId="1A2D5E1A" w:rsidR="00651118" w:rsidRPr="00070D3A" w:rsidRDefault="00651118" w:rsidP="00042B38">
      <w:pPr>
        <w:pStyle w:val="ListParagraph"/>
        <w:numPr>
          <w:ilvl w:val="1"/>
          <w:numId w:val="20"/>
        </w:numPr>
        <w:tabs>
          <w:tab w:val="left" w:pos="820"/>
          <w:tab w:val="left" w:pos="821"/>
        </w:tabs>
        <w:ind w:right="483"/>
        <w:jc w:val="both"/>
        <w:rPr>
          <w:rFonts w:asciiTheme="minorHAnsi" w:hAnsiTheme="minorHAnsi" w:cstheme="minorHAnsi"/>
          <w:iCs/>
          <w:sz w:val="24"/>
          <w:szCs w:val="24"/>
        </w:rPr>
      </w:pPr>
      <w:r w:rsidRPr="00070D3A">
        <w:rPr>
          <w:rFonts w:asciiTheme="minorHAnsi" w:hAnsiTheme="minorHAnsi" w:cstheme="minorHAnsi"/>
          <w:iCs/>
          <w:sz w:val="24"/>
          <w:szCs w:val="24"/>
        </w:rPr>
        <w:t>Place used needles into a clearly labeled and puncture-proof sharps approved container</w:t>
      </w:r>
    </w:p>
    <w:p w14:paraId="102BC7C0" w14:textId="77777777" w:rsidR="00C5133E" w:rsidRPr="00542557" w:rsidRDefault="00C5133E" w:rsidP="00DA0B9E">
      <w:pPr>
        <w:pStyle w:val="ListParagraph"/>
        <w:tabs>
          <w:tab w:val="left" w:pos="820"/>
          <w:tab w:val="left" w:pos="821"/>
        </w:tabs>
        <w:spacing w:before="0"/>
        <w:ind w:left="720" w:right="483" w:firstLine="0"/>
        <w:jc w:val="both"/>
        <w:rPr>
          <w:rFonts w:asciiTheme="minorHAnsi" w:hAnsiTheme="minorHAnsi" w:cstheme="minorHAnsi"/>
          <w:i/>
          <w:iCs/>
        </w:rPr>
      </w:pPr>
    </w:p>
    <w:sectPr w:rsidR="00C5133E" w:rsidRPr="00542557" w:rsidSect="00ED52C0">
      <w:headerReference w:type="default" r:id="rId14"/>
      <w:footerReference w:type="default" r:id="rId15"/>
      <w:pgSz w:w="12240" w:h="15840"/>
      <w:pgMar w:top="1440" w:right="1440" w:bottom="1440" w:left="1440" w:header="362"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D3F7" w14:textId="77777777" w:rsidR="007A4D60" w:rsidRDefault="007A4D60">
      <w:r>
        <w:separator/>
      </w:r>
    </w:p>
  </w:endnote>
  <w:endnote w:type="continuationSeparator" w:id="0">
    <w:p w14:paraId="66F8BDA4" w14:textId="77777777" w:rsidR="007A4D60" w:rsidRDefault="007A4D60">
      <w:r>
        <w:continuationSeparator/>
      </w:r>
    </w:p>
  </w:endnote>
  <w:endnote w:type="continuationNotice" w:id="1">
    <w:p w14:paraId="076AE505" w14:textId="77777777" w:rsidR="007A4D60" w:rsidRDefault="007A4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DAE7" w14:textId="7C571541" w:rsidR="0002749F" w:rsidRDefault="0002749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2693" w14:textId="77777777" w:rsidR="007A4D60" w:rsidRDefault="007A4D60">
      <w:r>
        <w:separator/>
      </w:r>
    </w:p>
  </w:footnote>
  <w:footnote w:type="continuationSeparator" w:id="0">
    <w:p w14:paraId="7C8DE1F2" w14:textId="77777777" w:rsidR="007A4D60" w:rsidRDefault="007A4D60">
      <w:r>
        <w:continuationSeparator/>
      </w:r>
    </w:p>
  </w:footnote>
  <w:footnote w:type="continuationNotice" w:id="1">
    <w:p w14:paraId="3310AA69" w14:textId="77777777" w:rsidR="007A4D60" w:rsidRDefault="007A4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4C9" w14:textId="77777777" w:rsidR="00E2121E" w:rsidRDefault="00E2121E" w:rsidP="006C2FAC">
    <w:pPr>
      <w:pStyle w:val="Header"/>
      <w:jc w:val="center"/>
      <w:rPr>
        <w:rFonts w:ascii="Nirmala UI" w:hAnsi="Nirmala UI" w:cs="Nirmala UI"/>
        <w:b/>
        <w:bCs/>
        <w:color w:val="006DB7"/>
        <w:sz w:val="28"/>
        <w:szCs w:val="28"/>
      </w:rPr>
    </w:pPr>
  </w:p>
  <w:p w14:paraId="1320DAE6" w14:textId="2387DCF4" w:rsidR="0002749F" w:rsidRPr="00542557" w:rsidRDefault="002C465E" w:rsidP="00824C94">
    <w:pPr>
      <w:pStyle w:val="Title"/>
      <w:jc w:val="center"/>
      <w:rPr>
        <w:rFonts w:asciiTheme="minorHAnsi" w:hAnsiTheme="minorHAnsi" w:cstheme="minorHAnsi"/>
        <w:color w:val="006DB7"/>
        <w:sz w:val="28"/>
        <w:szCs w:val="28"/>
      </w:rPr>
    </w:pPr>
    <w:r>
      <w:rPr>
        <w:rFonts w:asciiTheme="minorHAnsi" w:hAnsiTheme="minorHAnsi" w:cstheme="minorHAnsi"/>
        <w:color w:val="006DB7"/>
        <w:sz w:val="28"/>
        <w:szCs w:val="28"/>
      </w:rPr>
      <w:t>Injection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036"/>
    <w:multiLevelType w:val="hybridMultilevel"/>
    <w:tmpl w:val="7D2C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67241"/>
    <w:multiLevelType w:val="hybridMultilevel"/>
    <w:tmpl w:val="FB0E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0B7F"/>
    <w:multiLevelType w:val="hybridMultilevel"/>
    <w:tmpl w:val="028C0092"/>
    <w:lvl w:ilvl="0" w:tplc="1D18A93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0EF75650"/>
    <w:multiLevelType w:val="hybridMultilevel"/>
    <w:tmpl w:val="0F82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647DA"/>
    <w:multiLevelType w:val="hybridMultilevel"/>
    <w:tmpl w:val="5F2E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353E3"/>
    <w:multiLevelType w:val="hybridMultilevel"/>
    <w:tmpl w:val="C60C7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A2099"/>
    <w:multiLevelType w:val="hybridMultilevel"/>
    <w:tmpl w:val="BDB69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B32D1"/>
    <w:multiLevelType w:val="hybridMultilevel"/>
    <w:tmpl w:val="71B6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46FA6"/>
    <w:multiLevelType w:val="hybridMultilevel"/>
    <w:tmpl w:val="E8DC0646"/>
    <w:lvl w:ilvl="0" w:tplc="0B3431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57406"/>
    <w:multiLevelType w:val="hybridMultilevel"/>
    <w:tmpl w:val="B028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113DB"/>
    <w:multiLevelType w:val="hybridMultilevel"/>
    <w:tmpl w:val="DEE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45E6E"/>
    <w:multiLevelType w:val="hybridMultilevel"/>
    <w:tmpl w:val="F8127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A4884"/>
    <w:multiLevelType w:val="hybridMultilevel"/>
    <w:tmpl w:val="4CC82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47759"/>
    <w:multiLevelType w:val="hybridMultilevel"/>
    <w:tmpl w:val="44DC147A"/>
    <w:lvl w:ilvl="0" w:tplc="E14EFEC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51FB9"/>
    <w:multiLevelType w:val="hybridMultilevel"/>
    <w:tmpl w:val="60CE4B4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15:restartNumberingAfterBreak="0">
    <w:nsid w:val="56845E21"/>
    <w:multiLevelType w:val="hybridMultilevel"/>
    <w:tmpl w:val="AF781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208C4"/>
    <w:multiLevelType w:val="hybridMultilevel"/>
    <w:tmpl w:val="E674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57C63"/>
    <w:multiLevelType w:val="hybridMultilevel"/>
    <w:tmpl w:val="48A09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C30B8C"/>
    <w:multiLevelType w:val="hybridMultilevel"/>
    <w:tmpl w:val="5A32C6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30DBC"/>
    <w:multiLevelType w:val="hybridMultilevel"/>
    <w:tmpl w:val="37B2032E"/>
    <w:lvl w:ilvl="0" w:tplc="594086C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F008A9C">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040CC20C">
      <w:numFmt w:val="bullet"/>
      <w:lvlText w:val="•"/>
      <w:lvlJc w:val="left"/>
      <w:pPr>
        <w:ind w:left="2431" w:hanging="360"/>
      </w:pPr>
      <w:rPr>
        <w:rFonts w:hint="default"/>
        <w:lang w:val="en-US" w:eastAsia="en-US" w:bidi="ar-SA"/>
      </w:rPr>
    </w:lvl>
    <w:lvl w:ilvl="3" w:tplc="EB826F14">
      <w:numFmt w:val="bullet"/>
      <w:lvlText w:val="•"/>
      <w:lvlJc w:val="left"/>
      <w:pPr>
        <w:ind w:left="3322" w:hanging="360"/>
      </w:pPr>
      <w:rPr>
        <w:rFonts w:hint="default"/>
        <w:lang w:val="en-US" w:eastAsia="en-US" w:bidi="ar-SA"/>
      </w:rPr>
    </w:lvl>
    <w:lvl w:ilvl="4" w:tplc="B08C879A">
      <w:numFmt w:val="bullet"/>
      <w:lvlText w:val="•"/>
      <w:lvlJc w:val="left"/>
      <w:pPr>
        <w:ind w:left="4213" w:hanging="360"/>
      </w:pPr>
      <w:rPr>
        <w:rFonts w:hint="default"/>
        <w:lang w:val="en-US" w:eastAsia="en-US" w:bidi="ar-SA"/>
      </w:rPr>
    </w:lvl>
    <w:lvl w:ilvl="5" w:tplc="C8E0E2FC">
      <w:numFmt w:val="bullet"/>
      <w:lvlText w:val="•"/>
      <w:lvlJc w:val="left"/>
      <w:pPr>
        <w:ind w:left="5104" w:hanging="360"/>
      </w:pPr>
      <w:rPr>
        <w:rFonts w:hint="default"/>
        <w:lang w:val="en-US" w:eastAsia="en-US" w:bidi="ar-SA"/>
      </w:rPr>
    </w:lvl>
    <w:lvl w:ilvl="6" w:tplc="6C78C5D6">
      <w:numFmt w:val="bullet"/>
      <w:lvlText w:val="•"/>
      <w:lvlJc w:val="left"/>
      <w:pPr>
        <w:ind w:left="5995" w:hanging="360"/>
      </w:pPr>
      <w:rPr>
        <w:rFonts w:hint="default"/>
        <w:lang w:val="en-US" w:eastAsia="en-US" w:bidi="ar-SA"/>
      </w:rPr>
    </w:lvl>
    <w:lvl w:ilvl="7" w:tplc="3BC6875C">
      <w:numFmt w:val="bullet"/>
      <w:lvlText w:val="•"/>
      <w:lvlJc w:val="left"/>
      <w:pPr>
        <w:ind w:left="6886" w:hanging="360"/>
      </w:pPr>
      <w:rPr>
        <w:rFonts w:hint="default"/>
        <w:lang w:val="en-US" w:eastAsia="en-US" w:bidi="ar-SA"/>
      </w:rPr>
    </w:lvl>
    <w:lvl w:ilvl="8" w:tplc="43101AC4">
      <w:numFmt w:val="bullet"/>
      <w:lvlText w:val="•"/>
      <w:lvlJc w:val="left"/>
      <w:pPr>
        <w:ind w:left="7777" w:hanging="360"/>
      </w:pPr>
      <w:rPr>
        <w:rFonts w:hint="default"/>
        <w:lang w:val="en-US" w:eastAsia="en-US" w:bidi="ar-SA"/>
      </w:rPr>
    </w:lvl>
  </w:abstractNum>
  <w:abstractNum w:abstractNumId="20" w15:restartNumberingAfterBreak="0">
    <w:nsid w:val="77A011AC"/>
    <w:multiLevelType w:val="hybridMultilevel"/>
    <w:tmpl w:val="684A3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22170">
    <w:abstractNumId w:val="19"/>
  </w:num>
  <w:num w:numId="2" w16cid:durableId="1083454673">
    <w:abstractNumId w:val="0"/>
  </w:num>
  <w:num w:numId="3" w16cid:durableId="1307082467">
    <w:abstractNumId w:val="4"/>
  </w:num>
  <w:num w:numId="4" w16cid:durableId="2082825923">
    <w:abstractNumId w:val="2"/>
  </w:num>
  <w:num w:numId="5" w16cid:durableId="749043612">
    <w:abstractNumId w:val="6"/>
  </w:num>
  <w:num w:numId="6" w16cid:durableId="1979459888">
    <w:abstractNumId w:val="17"/>
  </w:num>
  <w:num w:numId="7" w16cid:durableId="884561657">
    <w:abstractNumId w:val="14"/>
  </w:num>
  <w:num w:numId="8" w16cid:durableId="1815947015">
    <w:abstractNumId w:val="20"/>
  </w:num>
  <w:num w:numId="9" w16cid:durableId="123542037">
    <w:abstractNumId w:val="15"/>
  </w:num>
  <w:num w:numId="10" w16cid:durableId="1590113615">
    <w:abstractNumId w:val="16"/>
  </w:num>
  <w:num w:numId="11" w16cid:durableId="1564874309">
    <w:abstractNumId w:val="3"/>
  </w:num>
  <w:num w:numId="12" w16cid:durableId="1910458184">
    <w:abstractNumId w:val="13"/>
  </w:num>
  <w:num w:numId="13" w16cid:durableId="1783842431">
    <w:abstractNumId w:val="12"/>
  </w:num>
  <w:num w:numId="14" w16cid:durableId="1053848971">
    <w:abstractNumId w:val="9"/>
  </w:num>
  <w:num w:numId="15" w16cid:durableId="36249592">
    <w:abstractNumId w:val="7"/>
  </w:num>
  <w:num w:numId="16" w16cid:durableId="1516727257">
    <w:abstractNumId w:val="10"/>
  </w:num>
  <w:num w:numId="17" w16cid:durableId="1971209814">
    <w:abstractNumId w:val="5"/>
  </w:num>
  <w:num w:numId="18" w16cid:durableId="577793300">
    <w:abstractNumId w:val="18"/>
  </w:num>
  <w:num w:numId="19" w16cid:durableId="574049132">
    <w:abstractNumId w:val="8"/>
  </w:num>
  <w:num w:numId="20" w16cid:durableId="1889100082">
    <w:abstractNumId w:val="1"/>
  </w:num>
  <w:num w:numId="21" w16cid:durableId="426921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9F"/>
    <w:rsid w:val="0000240A"/>
    <w:rsid w:val="00002CB6"/>
    <w:rsid w:val="00017D5E"/>
    <w:rsid w:val="000240AA"/>
    <w:rsid w:val="0002563B"/>
    <w:rsid w:val="0002749F"/>
    <w:rsid w:val="00033F15"/>
    <w:rsid w:val="00034C91"/>
    <w:rsid w:val="00042B38"/>
    <w:rsid w:val="000447A3"/>
    <w:rsid w:val="00051C35"/>
    <w:rsid w:val="00053D04"/>
    <w:rsid w:val="00056977"/>
    <w:rsid w:val="00056FD1"/>
    <w:rsid w:val="00057F09"/>
    <w:rsid w:val="000605A9"/>
    <w:rsid w:val="000624B1"/>
    <w:rsid w:val="00065448"/>
    <w:rsid w:val="0006617F"/>
    <w:rsid w:val="00070D3A"/>
    <w:rsid w:val="0007749B"/>
    <w:rsid w:val="0008751C"/>
    <w:rsid w:val="0009305F"/>
    <w:rsid w:val="0009322E"/>
    <w:rsid w:val="000936CC"/>
    <w:rsid w:val="000A0B32"/>
    <w:rsid w:val="000A254E"/>
    <w:rsid w:val="000A3256"/>
    <w:rsid w:val="000A467C"/>
    <w:rsid w:val="000B1B12"/>
    <w:rsid w:val="000B2385"/>
    <w:rsid w:val="000D0328"/>
    <w:rsid w:val="000D454D"/>
    <w:rsid w:val="000E0E6A"/>
    <w:rsid w:val="000E4DB6"/>
    <w:rsid w:val="000E6AC2"/>
    <w:rsid w:val="000E6ADD"/>
    <w:rsid w:val="000F181D"/>
    <w:rsid w:val="000F533C"/>
    <w:rsid w:val="000F5FD4"/>
    <w:rsid w:val="000F6889"/>
    <w:rsid w:val="00101A50"/>
    <w:rsid w:val="00105F89"/>
    <w:rsid w:val="0010648D"/>
    <w:rsid w:val="00113FF2"/>
    <w:rsid w:val="0011516A"/>
    <w:rsid w:val="00126852"/>
    <w:rsid w:val="00135216"/>
    <w:rsid w:val="001405F0"/>
    <w:rsid w:val="001433FB"/>
    <w:rsid w:val="00162BDE"/>
    <w:rsid w:val="00163916"/>
    <w:rsid w:val="001641CD"/>
    <w:rsid w:val="001663C8"/>
    <w:rsid w:val="00166FD6"/>
    <w:rsid w:val="0017124D"/>
    <w:rsid w:val="001760C3"/>
    <w:rsid w:val="00182E4F"/>
    <w:rsid w:val="0018326B"/>
    <w:rsid w:val="00190E26"/>
    <w:rsid w:val="001945F2"/>
    <w:rsid w:val="001A1F75"/>
    <w:rsid w:val="001A323B"/>
    <w:rsid w:val="001A3551"/>
    <w:rsid w:val="001B63A0"/>
    <w:rsid w:val="001B681B"/>
    <w:rsid w:val="001C6A00"/>
    <w:rsid w:val="001E1CFD"/>
    <w:rsid w:val="001E5E8A"/>
    <w:rsid w:val="001E6577"/>
    <w:rsid w:val="001F122E"/>
    <w:rsid w:val="001F4366"/>
    <w:rsid w:val="001F4D08"/>
    <w:rsid w:val="001F7ACD"/>
    <w:rsid w:val="00207362"/>
    <w:rsid w:val="00212309"/>
    <w:rsid w:val="00213157"/>
    <w:rsid w:val="00246B1F"/>
    <w:rsid w:val="002511B2"/>
    <w:rsid w:val="00256181"/>
    <w:rsid w:val="00267168"/>
    <w:rsid w:val="00267D54"/>
    <w:rsid w:val="0027398A"/>
    <w:rsid w:val="00275085"/>
    <w:rsid w:val="0028061C"/>
    <w:rsid w:val="00281AA6"/>
    <w:rsid w:val="0028471B"/>
    <w:rsid w:val="002872F7"/>
    <w:rsid w:val="00290B02"/>
    <w:rsid w:val="0029669A"/>
    <w:rsid w:val="002A42CF"/>
    <w:rsid w:val="002A5421"/>
    <w:rsid w:val="002B00F7"/>
    <w:rsid w:val="002B151F"/>
    <w:rsid w:val="002B69AA"/>
    <w:rsid w:val="002C21A7"/>
    <w:rsid w:val="002C2F04"/>
    <w:rsid w:val="002C35D9"/>
    <w:rsid w:val="002C465E"/>
    <w:rsid w:val="002C4C7D"/>
    <w:rsid w:val="002D4CF9"/>
    <w:rsid w:val="002D78BB"/>
    <w:rsid w:val="002F4638"/>
    <w:rsid w:val="00320ED9"/>
    <w:rsid w:val="00323ED6"/>
    <w:rsid w:val="0033260A"/>
    <w:rsid w:val="0033641D"/>
    <w:rsid w:val="00337F1A"/>
    <w:rsid w:val="00343449"/>
    <w:rsid w:val="00343F38"/>
    <w:rsid w:val="00350369"/>
    <w:rsid w:val="00350828"/>
    <w:rsid w:val="00350F4F"/>
    <w:rsid w:val="0035237E"/>
    <w:rsid w:val="00356646"/>
    <w:rsid w:val="00361A78"/>
    <w:rsid w:val="00361C66"/>
    <w:rsid w:val="003656B0"/>
    <w:rsid w:val="0036725D"/>
    <w:rsid w:val="0037050A"/>
    <w:rsid w:val="00374EAA"/>
    <w:rsid w:val="0037727C"/>
    <w:rsid w:val="0038321C"/>
    <w:rsid w:val="003850DB"/>
    <w:rsid w:val="00385DB6"/>
    <w:rsid w:val="00397708"/>
    <w:rsid w:val="003A1659"/>
    <w:rsid w:val="003A31EF"/>
    <w:rsid w:val="003C342B"/>
    <w:rsid w:val="003E34F4"/>
    <w:rsid w:val="003F0EC3"/>
    <w:rsid w:val="004016F0"/>
    <w:rsid w:val="0041166B"/>
    <w:rsid w:val="00412460"/>
    <w:rsid w:val="00413DA7"/>
    <w:rsid w:val="004334B9"/>
    <w:rsid w:val="00437034"/>
    <w:rsid w:val="004370E5"/>
    <w:rsid w:val="004443AA"/>
    <w:rsid w:val="00453F1A"/>
    <w:rsid w:val="004707B3"/>
    <w:rsid w:val="00472FC5"/>
    <w:rsid w:val="004848F2"/>
    <w:rsid w:val="0048550D"/>
    <w:rsid w:val="00492851"/>
    <w:rsid w:val="00496078"/>
    <w:rsid w:val="004B198E"/>
    <w:rsid w:val="004B2D06"/>
    <w:rsid w:val="004C08F0"/>
    <w:rsid w:val="004D0A98"/>
    <w:rsid w:val="004D200C"/>
    <w:rsid w:val="004D58CE"/>
    <w:rsid w:val="004D58F1"/>
    <w:rsid w:val="004D76D6"/>
    <w:rsid w:val="004E33FC"/>
    <w:rsid w:val="004E77E0"/>
    <w:rsid w:val="004F46C2"/>
    <w:rsid w:val="005043A7"/>
    <w:rsid w:val="00504870"/>
    <w:rsid w:val="00504BE1"/>
    <w:rsid w:val="0050508F"/>
    <w:rsid w:val="00510D31"/>
    <w:rsid w:val="00514579"/>
    <w:rsid w:val="005230ED"/>
    <w:rsid w:val="00533A54"/>
    <w:rsid w:val="005414BD"/>
    <w:rsid w:val="005415B2"/>
    <w:rsid w:val="00542557"/>
    <w:rsid w:val="00544AE7"/>
    <w:rsid w:val="00550A44"/>
    <w:rsid w:val="00561730"/>
    <w:rsid w:val="00562767"/>
    <w:rsid w:val="00567860"/>
    <w:rsid w:val="0057208B"/>
    <w:rsid w:val="0057296F"/>
    <w:rsid w:val="00574340"/>
    <w:rsid w:val="00574753"/>
    <w:rsid w:val="0057769D"/>
    <w:rsid w:val="00577A10"/>
    <w:rsid w:val="005810DD"/>
    <w:rsid w:val="0058461A"/>
    <w:rsid w:val="00597E53"/>
    <w:rsid w:val="00597EBF"/>
    <w:rsid w:val="005A142D"/>
    <w:rsid w:val="005B6366"/>
    <w:rsid w:val="005C1BEE"/>
    <w:rsid w:val="005C3310"/>
    <w:rsid w:val="005C37DB"/>
    <w:rsid w:val="005C4B54"/>
    <w:rsid w:val="005D62AC"/>
    <w:rsid w:val="005E66EF"/>
    <w:rsid w:val="00606A41"/>
    <w:rsid w:val="006156A9"/>
    <w:rsid w:val="00626DAC"/>
    <w:rsid w:val="006309FD"/>
    <w:rsid w:val="00632F21"/>
    <w:rsid w:val="00640A5D"/>
    <w:rsid w:val="00641E8D"/>
    <w:rsid w:val="00644AA3"/>
    <w:rsid w:val="00646ABF"/>
    <w:rsid w:val="006509D1"/>
    <w:rsid w:val="00651118"/>
    <w:rsid w:val="00652259"/>
    <w:rsid w:val="006522B9"/>
    <w:rsid w:val="006549CE"/>
    <w:rsid w:val="00655588"/>
    <w:rsid w:val="006629A2"/>
    <w:rsid w:val="00664AB3"/>
    <w:rsid w:val="00671738"/>
    <w:rsid w:val="0067214A"/>
    <w:rsid w:val="006818D8"/>
    <w:rsid w:val="00692C22"/>
    <w:rsid w:val="0069444A"/>
    <w:rsid w:val="006C2FAC"/>
    <w:rsid w:val="006C6782"/>
    <w:rsid w:val="006D07A5"/>
    <w:rsid w:val="006D1680"/>
    <w:rsid w:val="006D63A7"/>
    <w:rsid w:val="006F0EEF"/>
    <w:rsid w:val="006F5672"/>
    <w:rsid w:val="006F7D7D"/>
    <w:rsid w:val="00704D5F"/>
    <w:rsid w:val="00710483"/>
    <w:rsid w:val="00711D5D"/>
    <w:rsid w:val="00712AAA"/>
    <w:rsid w:val="00714183"/>
    <w:rsid w:val="00715B36"/>
    <w:rsid w:val="00716675"/>
    <w:rsid w:val="00717537"/>
    <w:rsid w:val="00721F9F"/>
    <w:rsid w:val="00722825"/>
    <w:rsid w:val="00740E3D"/>
    <w:rsid w:val="00744FB7"/>
    <w:rsid w:val="00747018"/>
    <w:rsid w:val="00754538"/>
    <w:rsid w:val="00754C8F"/>
    <w:rsid w:val="00756C2E"/>
    <w:rsid w:val="00763AF7"/>
    <w:rsid w:val="0077102C"/>
    <w:rsid w:val="00773CCA"/>
    <w:rsid w:val="00773EE1"/>
    <w:rsid w:val="00774C69"/>
    <w:rsid w:val="00785E25"/>
    <w:rsid w:val="0079101C"/>
    <w:rsid w:val="00793BB5"/>
    <w:rsid w:val="007A006B"/>
    <w:rsid w:val="007A0E84"/>
    <w:rsid w:val="007A4D60"/>
    <w:rsid w:val="007A5EFB"/>
    <w:rsid w:val="007B0C91"/>
    <w:rsid w:val="007B13A2"/>
    <w:rsid w:val="007B4B9D"/>
    <w:rsid w:val="007B5B6F"/>
    <w:rsid w:val="007C1F7E"/>
    <w:rsid w:val="007C3AFF"/>
    <w:rsid w:val="007D10AD"/>
    <w:rsid w:val="007D3554"/>
    <w:rsid w:val="007D4D3B"/>
    <w:rsid w:val="007D5770"/>
    <w:rsid w:val="007D659B"/>
    <w:rsid w:val="007E2B00"/>
    <w:rsid w:val="007E3EBE"/>
    <w:rsid w:val="007E3FD7"/>
    <w:rsid w:val="007E6FED"/>
    <w:rsid w:val="007F2077"/>
    <w:rsid w:val="007F263A"/>
    <w:rsid w:val="007F3B42"/>
    <w:rsid w:val="00820374"/>
    <w:rsid w:val="00820ED4"/>
    <w:rsid w:val="008227E3"/>
    <w:rsid w:val="00824C94"/>
    <w:rsid w:val="0083660C"/>
    <w:rsid w:val="00842F82"/>
    <w:rsid w:val="008430B1"/>
    <w:rsid w:val="00844D39"/>
    <w:rsid w:val="00846745"/>
    <w:rsid w:val="008518C8"/>
    <w:rsid w:val="008561C1"/>
    <w:rsid w:val="00860468"/>
    <w:rsid w:val="0086154B"/>
    <w:rsid w:val="00862139"/>
    <w:rsid w:val="00865170"/>
    <w:rsid w:val="008734F3"/>
    <w:rsid w:val="00877DF8"/>
    <w:rsid w:val="00885532"/>
    <w:rsid w:val="00890189"/>
    <w:rsid w:val="00892DF1"/>
    <w:rsid w:val="00897BF7"/>
    <w:rsid w:val="008B3C04"/>
    <w:rsid w:val="008B5129"/>
    <w:rsid w:val="008C00DB"/>
    <w:rsid w:val="008C04EF"/>
    <w:rsid w:val="008C5D0D"/>
    <w:rsid w:val="008D13D9"/>
    <w:rsid w:val="008D7A61"/>
    <w:rsid w:val="008E79A5"/>
    <w:rsid w:val="008F0C2C"/>
    <w:rsid w:val="008F2EF8"/>
    <w:rsid w:val="008F6739"/>
    <w:rsid w:val="00902538"/>
    <w:rsid w:val="00903634"/>
    <w:rsid w:val="00905142"/>
    <w:rsid w:val="00910687"/>
    <w:rsid w:val="0091388D"/>
    <w:rsid w:val="00921668"/>
    <w:rsid w:val="00921F29"/>
    <w:rsid w:val="00933587"/>
    <w:rsid w:val="009337EB"/>
    <w:rsid w:val="00933B1A"/>
    <w:rsid w:val="009350A1"/>
    <w:rsid w:val="0094204E"/>
    <w:rsid w:val="00943B31"/>
    <w:rsid w:val="00947E45"/>
    <w:rsid w:val="0095235D"/>
    <w:rsid w:val="0095449E"/>
    <w:rsid w:val="00963979"/>
    <w:rsid w:val="00965327"/>
    <w:rsid w:val="0097014F"/>
    <w:rsid w:val="009763A0"/>
    <w:rsid w:val="00980507"/>
    <w:rsid w:val="0098330C"/>
    <w:rsid w:val="00991217"/>
    <w:rsid w:val="009922E0"/>
    <w:rsid w:val="009935D1"/>
    <w:rsid w:val="009A022E"/>
    <w:rsid w:val="009B11B1"/>
    <w:rsid w:val="009C55D0"/>
    <w:rsid w:val="009D0E4E"/>
    <w:rsid w:val="009D2A00"/>
    <w:rsid w:val="009D4D51"/>
    <w:rsid w:val="009D6CB4"/>
    <w:rsid w:val="00A1515E"/>
    <w:rsid w:val="00A34E10"/>
    <w:rsid w:val="00A41B9C"/>
    <w:rsid w:val="00A43FA5"/>
    <w:rsid w:val="00A5402C"/>
    <w:rsid w:val="00A5456B"/>
    <w:rsid w:val="00A576CA"/>
    <w:rsid w:val="00A60222"/>
    <w:rsid w:val="00A60905"/>
    <w:rsid w:val="00A6539C"/>
    <w:rsid w:val="00A70159"/>
    <w:rsid w:val="00A730EB"/>
    <w:rsid w:val="00A74868"/>
    <w:rsid w:val="00A83978"/>
    <w:rsid w:val="00A87BF9"/>
    <w:rsid w:val="00A93C0F"/>
    <w:rsid w:val="00A94CAE"/>
    <w:rsid w:val="00A95EA9"/>
    <w:rsid w:val="00AA1D82"/>
    <w:rsid w:val="00AA360F"/>
    <w:rsid w:val="00AB3012"/>
    <w:rsid w:val="00AB3CC1"/>
    <w:rsid w:val="00AB6423"/>
    <w:rsid w:val="00AB73AF"/>
    <w:rsid w:val="00AC003B"/>
    <w:rsid w:val="00AC1892"/>
    <w:rsid w:val="00AD0A6F"/>
    <w:rsid w:val="00AD1311"/>
    <w:rsid w:val="00AF5819"/>
    <w:rsid w:val="00AF5E7A"/>
    <w:rsid w:val="00AF655A"/>
    <w:rsid w:val="00AF6C64"/>
    <w:rsid w:val="00B072CC"/>
    <w:rsid w:val="00B20A6A"/>
    <w:rsid w:val="00B26F2A"/>
    <w:rsid w:val="00B42CAB"/>
    <w:rsid w:val="00B44954"/>
    <w:rsid w:val="00B45463"/>
    <w:rsid w:val="00B45B21"/>
    <w:rsid w:val="00B61541"/>
    <w:rsid w:val="00B7215B"/>
    <w:rsid w:val="00B7338A"/>
    <w:rsid w:val="00B806E7"/>
    <w:rsid w:val="00B81070"/>
    <w:rsid w:val="00B8140E"/>
    <w:rsid w:val="00B856E0"/>
    <w:rsid w:val="00B85E7D"/>
    <w:rsid w:val="00B90021"/>
    <w:rsid w:val="00B903FC"/>
    <w:rsid w:val="00B9384B"/>
    <w:rsid w:val="00B93DE5"/>
    <w:rsid w:val="00B96C47"/>
    <w:rsid w:val="00BB36DE"/>
    <w:rsid w:val="00BB7974"/>
    <w:rsid w:val="00BC099D"/>
    <w:rsid w:val="00BC09EB"/>
    <w:rsid w:val="00BC6B1E"/>
    <w:rsid w:val="00BD5D24"/>
    <w:rsid w:val="00BD5D4E"/>
    <w:rsid w:val="00BD726D"/>
    <w:rsid w:val="00BE2B8F"/>
    <w:rsid w:val="00BE6B74"/>
    <w:rsid w:val="00BF0CE2"/>
    <w:rsid w:val="00BF40D2"/>
    <w:rsid w:val="00C04B0B"/>
    <w:rsid w:val="00C07756"/>
    <w:rsid w:val="00C07CEE"/>
    <w:rsid w:val="00C07E6A"/>
    <w:rsid w:val="00C1082B"/>
    <w:rsid w:val="00C109A7"/>
    <w:rsid w:val="00C15697"/>
    <w:rsid w:val="00C31370"/>
    <w:rsid w:val="00C42BA6"/>
    <w:rsid w:val="00C43994"/>
    <w:rsid w:val="00C5133E"/>
    <w:rsid w:val="00C51A45"/>
    <w:rsid w:val="00C72DC1"/>
    <w:rsid w:val="00C73F7B"/>
    <w:rsid w:val="00C8746C"/>
    <w:rsid w:val="00CA1BCC"/>
    <w:rsid w:val="00CA4892"/>
    <w:rsid w:val="00CA6A6F"/>
    <w:rsid w:val="00CA7607"/>
    <w:rsid w:val="00CD2934"/>
    <w:rsid w:val="00CD395C"/>
    <w:rsid w:val="00CD459F"/>
    <w:rsid w:val="00CD4CFC"/>
    <w:rsid w:val="00CE24A1"/>
    <w:rsid w:val="00CF54C3"/>
    <w:rsid w:val="00D02ADB"/>
    <w:rsid w:val="00D03E19"/>
    <w:rsid w:val="00D07F30"/>
    <w:rsid w:val="00D129F4"/>
    <w:rsid w:val="00D15784"/>
    <w:rsid w:val="00D17C68"/>
    <w:rsid w:val="00D20E01"/>
    <w:rsid w:val="00D267B0"/>
    <w:rsid w:val="00D310D3"/>
    <w:rsid w:val="00D33C91"/>
    <w:rsid w:val="00D35C32"/>
    <w:rsid w:val="00D36507"/>
    <w:rsid w:val="00D418E3"/>
    <w:rsid w:val="00D44380"/>
    <w:rsid w:val="00D55D57"/>
    <w:rsid w:val="00D61006"/>
    <w:rsid w:val="00D671E0"/>
    <w:rsid w:val="00D75A64"/>
    <w:rsid w:val="00D840B0"/>
    <w:rsid w:val="00D85894"/>
    <w:rsid w:val="00D934AC"/>
    <w:rsid w:val="00D93AEB"/>
    <w:rsid w:val="00D9519E"/>
    <w:rsid w:val="00DA0B9E"/>
    <w:rsid w:val="00DA5074"/>
    <w:rsid w:val="00DA50CF"/>
    <w:rsid w:val="00DB3D7F"/>
    <w:rsid w:val="00DB44F8"/>
    <w:rsid w:val="00DB489D"/>
    <w:rsid w:val="00DC0638"/>
    <w:rsid w:val="00DC0B3E"/>
    <w:rsid w:val="00DC5155"/>
    <w:rsid w:val="00DD4B9B"/>
    <w:rsid w:val="00DD5C52"/>
    <w:rsid w:val="00DE00E0"/>
    <w:rsid w:val="00DE2B5D"/>
    <w:rsid w:val="00DE6FF3"/>
    <w:rsid w:val="00DF0B9A"/>
    <w:rsid w:val="00DF5AA9"/>
    <w:rsid w:val="00DF66F6"/>
    <w:rsid w:val="00DF7EB2"/>
    <w:rsid w:val="00E0188A"/>
    <w:rsid w:val="00E1090C"/>
    <w:rsid w:val="00E2121E"/>
    <w:rsid w:val="00E2258E"/>
    <w:rsid w:val="00E24EF7"/>
    <w:rsid w:val="00E26708"/>
    <w:rsid w:val="00E30968"/>
    <w:rsid w:val="00E32BEE"/>
    <w:rsid w:val="00E34D0E"/>
    <w:rsid w:val="00E356D9"/>
    <w:rsid w:val="00E36D7F"/>
    <w:rsid w:val="00E4565B"/>
    <w:rsid w:val="00E6028D"/>
    <w:rsid w:val="00E6626E"/>
    <w:rsid w:val="00E844C3"/>
    <w:rsid w:val="00E9236D"/>
    <w:rsid w:val="00E94255"/>
    <w:rsid w:val="00EA2115"/>
    <w:rsid w:val="00EA4B04"/>
    <w:rsid w:val="00EA5AF6"/>
    <w:rsid w:val="00EB7AD8"/>
    <w:rsid w:val="00EC4BDE"/>
    <w:rsid w:val="00ED52C0"/>
    <w:rsid w:val="00EE5AC5"/>
    <w:rsid w:val="00EE7478"/>
    <w:rsid w:val="00EF6996"/>
    <w:rsid w:val="00F01544"/>
    <w:rsid w:val="00F13C51"/>
    <w:rsid w:val="00F163B3"/>
    <w:rsid w:val="00F23BB3"/>
    <w:rsid w:val="00F251D9"/>
    <w:rsid w:val="00F2581D"/>
    <w:rsid w:val="00F30D24"/>
    <w:rsid w:val="00F344F9"/>
    <w:rsid w:val="00F509AA"/>
    <w:rsid w:val="00F57B2A"/>
    <w:rsid w:val="00F654B6"/>
    <w:rsid w:val="00F7319B"/>
    <w:rsid w:val="00F85D2B"/>
    <w:rsid w:val="00F9373E"/>
    <w:rsid w:val="00F960AC"/>
    <w:rsid w:val="00FA4025"/>
    <w:rsid w:val="00FA5567"/>
    <w:rsid w:val="00FA7FDD"/>
    <w:rsid w:val="00FB7401"/>
    <w:rsid w:val="00FE59D4"/>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DAC0"/>
  <w15:docId w15:val="{EA11C469-80FD-4A0B-8ECE-B63CE341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3"/>
      <w:ind w:left="20"/>
    </w:pPr>
    <w:rPr>
      <w:b/>
      <w:bCs/>
      <w:sz w:val="52"/>
      <w:szCs w:val="52"/>
    </w:rPr>
  </w:style>
  <w:style w:type="paragraph" w:styleId="ListParagraph">
    <w:name w:val="List Paragraph"/>
    <w:basedOn w:val="Normal"/>
    <w:uiPriority w:val="34"/>
    <w:qFormat/>
    <w:pPr>
      <w:spacing w:before="19"/>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BD726D"/>
    <w:pPr>
      <w:widowControl/>
      <w:autoSpaceDE/>
      <w:autoSpaceDN/>
    </w:pPr>
    <w:rPr>
      <w:rFonts w:ascii="Arial" w:eastAsia="Arial" w:hAnsi="Arial" w:cs="Arial"/>
    </w:rPr>
  </w:style>
  <w:style w:type="paragraph" w:styleId="Header">
    <w:name w:val="header"/>
    <w:basedOn w:val="Normal"/>
    <w:link w:val="HeaderChar"/>
    <w:uiPriority w:val="99"/>
    <w:unhideWhenUsed/>
    <w:rsid w:val="00BD726D"/>
    <w:pPr>
      <w:tabs>
        <w:tab w:val="center" w:pos="4680"/>
        <w:tab w:val="right" w:pos="9360"/>
      </w:tabs>
    </w:pPr>
  </w:style>
  <w:style w:type="character" w:customStyle="1" w:styleId="HeaderChar">
    <w:name w:val="Header Char"/>
    <w:basedOn w:val="DefaultParagraphFont"/>
    <w:link w:val="Header"/>
    <w:uiPriority w:val="99"/>
    <w:rsid w:val="00BD726D"/>
    <w:rPr>
      <w:rFonts w:ascii="Arial" w:eastAsia="Arial" w:hAnsi="Arial" w:cs="Arial"/>
    </w:rPr>
  </w:style>
  <w:style w:type="paragraph" w:styleId="Footer">
    <w:name w:val="footer"/>
    <w:basedOn w:val="Normal"/>
    <w:link w:val="FooterChar"/>
    <w:uiPriority w:val="99"/>
    <w:unhideWhenUsed/>
    <w:rsid w:val="00BD726D"/>
    <w:pPr>
      <w:tabs>
        <w:tab w:val="center" w:pos="4680"/>
        <w:tab w:val="right" w:pos="9360"/>
      </w:tabs>
    </w:pPr>
  </w:style>
  <w:style w:type="character" w:customStyle="1" w:styleId="FooterChar">
    <w:name w:val="Footer Char"/>
    <w:basedOn w:val="DefaultParagraphFont"/>
    <w:link w:val="Footer"/>
    <w:uiPriority w:val="99"/>
    <w:rsid w:val="00BD726D"/>
    <w:rPr>
      <w:rFonts w:ascii="Arial" w:eastAsia="Arial" w:hAnsi="Arial" w:cs="Arial"/>
    </w:rPr>
  </w:style>
  <w:style w:type="character" w:styleId="Hyperlink">
    <w:name w:val="Hyperlink"/>
    <w:basedOn w:val="DefaultParagraphFont"/>
    <w:uiPriority w:val="99"/>
    <w:unhideWhenUsed/>
    <w:rsid w:val="002B00F7"/>
    <w:rPr>
      <w:color w:val="0000FF"/>
      <w:u w:val="single"/>
    </w:rPr>
  </w:style>
  <w:style w:type="paragraph" w:customStyle="1" w:styleId="Default">
    <w:name w:val="Default"/>
    <w:rsid w:val="00AF5E7A"/>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C5D0D"/>
    <w:rPr>
      <w:sz w:val="16"/>
      <w:szCs w:val="16"/>
    </w:rPr>
  </w:style>
  <w:style w:type="paragraph" w:styleId="CommentText">
    <w:name w:val="annotation text"/>
    <w:basedOn w:val="Normal"/>
    <w:link w:val="CommentTextChar"/>
    <w:uiPriority w:val="99"/>
    <w:unhideWhenUsed/>
    <w:rsid w:val="008C5D0D"/>
    <w:rPr>
      <w:sz w:val="20"/>
      <w:szCs w:val="20"/>
    </w:rPr>
  </w:style>
  <w:style w:type="character" w:customStyle="1" w:styleId="CommentTextChar">
    <w:name w:val="Comment Text Char"/>
    <w:basedOn w:val="DefaultParagraphFont"/>
    <w:link w:val="CommentText"/>
    <w:uiPriority w:val="99"/>
    <w:rsid w:val="008C5D0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C5D0D"/>
    <w:rPr>
      <w:b/>
      <w:bCs/>
    </w:rPr>
  </w:style>
  <w:style w:type="character" w:customStyle="1" w:styleId="CommentSubjectChar">
    <w:name w:val="Comment Subject Char"/>
    <w:basedOn w:val="CommentTextChar"/>
    <w:link w:val="CommentSubject"/>
    <w:uiPriority w:val="99"/>
    <w:semiHidden/>
    <w:rsid w:val="008C5D0D"/>
    <w:rPr>
      <w:rFonts w:ascii="Arial" w:eastAsia="Arial" w:hAnsi="Arial" w:cs="Arial"/>
      <w:b/>
      <w:bCs/>
      <w:sz w:val="20"/>
      <w:szCs w:val="20"/>
    </w:rPr>
  </w:style>
  <w:style w:type="character" w:styleId="FollowedHyperlink">
    <w:name w:val="FollowedHyperlink"/>
    <w:basedOn w:val="DefaultParagraphFont"/>
    <w:uiPriority w:val="99"/>
    <w:semiHidden/>
    <w:unhideWhenUsed/>
    <w:rsid w:val="00EE5AC5"/>
    <w:rPr>
      <w:color w:val="800080" w:themeColor="followedHyperlink"/>
      <w:u w:val="single"/>
    </w:rPr>
  </w:style>
  <w:style w:type="paragraph" w:customStyle="1" w:styleId="pf0">
    <w:name w:val="pf0"/>
    <w:basedOn w:val="Normal"/>
    <w:rsid w:val="00323ED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3ED6"/>
    <w:rPr>
      <w:rFonts w:ascii="Segoe UI" w:hAnsi="Segoe UI" w:cs="Segoe UI" w:hint="default"/>
      <w:sz w:val="18"/>
      <w:szCs w:val="18"/>
    </w:rPr>
  </w:style>
  <w:style w:type="character" w:styleId="UnresolvedMention">
    <w:name w:val="Unresolved Mention"/>
    <w:basedOn w:val="DefaultParagraphFont"/>
    <w:uiPriority w:val="99"/>
    <w:semiHidden/>
    <w:unhideWhenUsed/>
    <w:rsid w:val="00D671E0"/>
    <w:rPr>
      <w:color w:val="605E5C"/>
      <w:shd w:val="clear" w:color="auto" w:fill="E1DFDD"/>
    </w:rPr>
  </w:style>
  <w:style w:type="table" w:styleId="TableGrid">
    <w:name w:val="Table Grid"/>
    <w:basedOn w:val="TableNormal"/>
    <w:uiPriority w:val="39"/>
    <w:rsid w:val="001E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2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sha.gov/bloodborne-pathoge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injectionsafety/ip07_standardprecaut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injectionsafety/index.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dc.gov/infectioncontrol/guidelines/isola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Felicity Wood</DisplayName>
        <AccountId>12</AccountId>
        <AccountType/>
      </UserInfo>
      <UserInfo>
        <DisplayName>Allison N. Spangler</DisplayName>
        <AccountId>14</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D9A884-D80E-4253-BACE-2773D4C2176C}">
  <ds:schemaRefs>
    <ds:schemaRef ds:uri="http://schemas.microsoft.com/sharepoint/v3/contenttype/forms"/>
  </ds:schemaRefs>
</ds:datastoreItem>
</file>

<file path=customXml/itemProps2.xml><?xml version="1.0" encoding="utf-8"?>
<ds:datastoreItem xmlns:ds="http://schemas.openxmlformats.org/officeDocument/2006/customXml" ds:itemID="{AA1A3652-0CC8-4700-9B2E-4DD254DBBF7D}"/>
</file>

<file path=customXml/itemProps3.xml><?xml version="1.0" encoding="utf-8"?>
<ds:datastoreItem xmlns:ds="http://schemas.openxmlformats.org/officeDocument/2006/customXml" ds:itemID="{5E364E93-C9A9-45DC-B74E-97D130300B3B}">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Injection Safety</vt:lpstr>
    </vt:vector>
  </TitlesOfParts>
  <Company/>
  <LinksUpToDate>false</LinksUpToDate>
  <CharactersWithSpaces>9613</CharactersWithSpaces>
  <SharedDoc>false</SharedDoc>
  <HLinks>
    <vt:vector size="18" baseType="variant">
      <vt:variant>
        <vt:i4>3211377</vt:i4>
      </vt:variant>
      <vt:variant>
        <vt:i4>6</vt:i4>
      </vt:variant>
      <vt:variant>
        <vt:i4>0</vt:i4>
      </vt:variant>
      <vt:variant>
        <vt:i4>5</vt:i4>
      </vt:variant>
      <vt:variant>
        <vt:lpwstr>https://www.vdh.virginia.gov/content/uploads/sites/174/2023/01/HandHygieneFactSheet.pdf</vt:lpwstr>
      </vt:variant>
      <vt:variant>
        <vt:lpwstr/>
      </vt:variant>
      <vt:variant>
        <vt:i4>8126504</vt:i4>
      </vt:variant>
      <vt:variant>
        <vt:i4>3</vt:i4>
      </vt:variant>
      <vt:variant>
        <vt:i4>0</vt:i4>
      </vt:variant>
      <vt:variant>
        <vt:i4>5</vt:i4>
      </vt:variant>
      <vt:variant>
        <vt:lpwstr>https://www.vdh.virginia.gov/content/uploads/sites/174/2023/01/How-to-Wash-Hands-poster.pdf</vt:lpwstr>
      </vt:variant>
      <vt:variant>
        <vt:lpwstr/>
      </vt:variant>
      <vt:variant>
        <vt:i4>917594</vt:i4>
      </vt:variant>
      <vt:variant>
        <vt:i4>0</vt:i4>
      </vt:variant>
      <vt:variant>
        <vt:i4>0</vt:i4>
      </vt:variant>
      <vt:variant>
        <vt:i4>5</vt:i4>
      </vt:variant>
      <vt:variant>
        <vt:lpwstr>https://www.cdc.gov/handhygiene/providers/guideline.html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Injection Safety Policy</dc:title>
  <dc:subject/>
  <dc:creator>Health Quality Innovators</dc:creator>
  <cp:keywords>Injection Safety, ADC, Adult Day Center</cp:keywords>
  <cp:lastModifiedBy>Sarah MacCready</cp:lastModifiedBy>
  <cp:revision>85</cp:revision>
  <dcterms:created xsi:type="dcterms:W3CDTF">2023-05-09T18:45:00Z</dcterms:created>
  <dcterms:modified xsi:type="dcterms:W3CDTF">2023-08-28T15:39:00Z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Word 2016</vt:lpwstr>
  </property>
  <property fmtid="{D5CDD505-2E9C-101B-9397-08002B2CF9AE}" pid="4" name="LastSaved">
    <vt:filetime>2023-02-01T00:00:00Z</vt:filetime>
  </property>
  <property fmtid="{D5CDD505-2E9C-101B-9397-08002B2CF9AE}" pid="5" name="NCCL_App">
    <vt:lpwstr>PDF</vt:lpwstr>
  </property>
  <property fmtid="{D5CDD505-2E9C-101B-9397-08002B2CF9AE}" pid="6" name="NCCL_Standard">
    <vt:lpwstr>PDF/UA;</vt:lpwstr>
  </property>
  <property fmtid="{D5CDD505-2E9C-101B-9397-08002B2CF9AE}" pid="7" name="NCCL_Status">
    <vt:lpwstr>Passed</vt:lpwstr>
  </property>
  <property fmtid="{D5CDD505-2E9C-101B-9397-08002B2CF9AE}" pid="8" name="Producer">
    <vt:lpwstr>Microsoft® Word 2016</vt:lpwstr>
  </property>
  <property fmtid="{D5CDD505-2E9C-101B-9397-08002B2CF9AE}" pid="9" name="ContentTypeId">
    <vt:lpwstr>0x0101005D11B6B9F23254468F6D1ED128359F2E</vt:lpwstr>
  </property>
  <property fmtid="{D5CDD505-2E9C-101B-9397-08002B2CF9AE}" pid="10" name="MediaServiceImageTags">
    <vt:lpwstr/>
  </property>
</Properties>
</file>